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6A" w:rsidRPr="00190EF4" w:rsidRDefault="00A9656A" w:rsidP="00A9656A">
      <w:pPr>
        <w:widowControl w:val="0"/>
        <w:autoSpaceDE w:val="0"/>
        <w:autoSpaceDN w:val="0"/>
        <w:adjustRightInd w:val="0"/>
        <w:jc w:val="center"/>
        <w:rPr>
          <w:rFonts w:eastAsia="Calibri"/>
          <w:b/>
          <w:bCs/>
          <w:sz w:val="20"/>
          <w:szCs w:val="20"/>
        </w:rPr>
      </w:pPr>
      <w:r w:rsidRPr="00190EF4">
        <w:rPr>
          <w:rFonts w:eastAsia="Calibri"/>
          <w:b/>
          <w:bCs/>
          <w:sz w:val="20"/>
          <w:szCs w:val="20"/>
        </w:rPr>
        <w:t>МИНИСТЕРСТВО ФИНАНСОВ РОССИЙСКОЙ ФЕДЕРАЦИИ</w:t>
      </w:r>
    </w:p>
    <w:p w:rsidR="00A9656A" w:rsidRPr="00CE30D5" w:rsidRDefault="00A9656A" w:rsidP="00A9656A">
      <w:pPr>
        <w:widowControl w:val="0"/>
        <w:autoSpaceDE w:val="0"/>
        <w:autoSpaceDN w:val="0"/>
        <w:adjustRightInd w:val="0"/>
        <w:jc w:val="center"/>
        <w:rPr>
          <w:rFonts w:eastAsia="Calibri"/>
          <w:b/>
          <w:bCs/>
          <w:sz w:val="20"/>
          <w:szCs w:val="20"/>
        </w:rPr>
      </w:pPr>
    </w:p>
    <w:p w:rsidR="00A9656A" w:rsidRPr="00CE30D5" w:rsidRDefault="00A9656A" w:rsidP="00A9656A">
      <w:pPr>
        <w:widowControl w:val="0"/>
        <w:autoSpaceDE w:val="0"/>
        <w:autoSpaceDN w:val="0"/>
        <w:adjustRightInd w:val="0"/>
        <w:jc w:val="center"/>
        <w:rPr>
          <w:rFonts w:eastAsia="Calibri"/>
          <w:b/>
          <w:bCs/>
          <w:sz w:val="20"/>
          <w:szCs w:val="20"/>
        </w:rPr>
      </w:pPr>
      <w:r w:rsidRPr="00CE30D5">
        <w:rPr>
          <w:rFonts w:eastAsia="Calibri"/>
          <w:b/>
          <w:bCs/>
          <w:sz w:val="20"/>
          <w:szCs w:val="20"/>
        </w:rPr>
        <w:t>ДЕПАРТАМЕНТ НАЛОГОВОЙ И ТАМОЖЕННО-ТАРИФНОЙ ПОЛИТИКИ</w:t>
      </w:r>
    </w:p>
    <w:p w:rsidR="00A9656A" w:rsidRPr="00CE30D5" w:rsidRDefault="00A9656A" w:rsidP="00A9656A">
      <w:pPr>
        <w:widowControl w:val="0"/>
        <w:autoSpaceDE w:val="0"/>
        <w:autoSpaceDN w:val="0"/>
        <w:adjustRightInd w:val="0"/>
        <w:jc w:val="center"/>
        <w:rPr>
          <w:rFonts w:eastAsia="Calibri"/>
          <w:b/>
          <w:bCs/>
          <w:sz w:val="20"/>
          <w:szCs w:val="20"/>
        </w:rPr>
      </w:pPr>
    </w:p>
    <w:p w:rsidR="00A9656A" w:rsidRDefault="00A9656A" w:rsidP="00A9656A">
      <w:pPr>
        <w:widowControl w:val="0"/>
        <w:autoSpaceDE w:val="0"/>
        <w:autoSpaceDN w:val="0"/>
        <w:adjustRightInd w:val="0"/>
        <w:jc w:val="center"/>
        <w:rPr>
          <w:rFonts w:eastAsia="Calibri"/>
          <w:b/>
          <w:bCs/>
          <w:sz w:val="20"/>
          <w:szCs w:val="20"/>
        </w:rPr>
      </w:pPr>
      <w:r w:rsidRPr="00190EF4">
        <w:rPr>
          <w:rFonts w:eastAsia="Calibri"/>
          <w:b/>
          <w:bCs/>
          <w:sz w:val="20"/>
          <w:szCs w:val="20"/>
        </w:rPr>
        <w:t>ПИСЬМО</w:t>
      </w:r>
    </w:p>
    <w:p w:rsidR="00A9656A" w:rsidRPr="00190EF4" w:rsidRDefault="00A9656A" w:rsidP="00A9656A">
      <w:pPr>
        <w:widowControl w:val="0"/>
        <w:autoSpaceDE w:val="0"/>
        <w:autoSpaceDN w:val="0"/>
        <w:adjustRightInd w:val="0"/>
        <w:jc w:val="center"/>
        <w:rPr>
          <w:rFonts w:eastAsia="Calibri"/>
          <w:b/>
          <w:bCs/>
          <w:sz w:val="20"/>
          <w:szCs w:val="20"/>
        </w:rPr>
      </w:pPr>
    </w:p>
    <w:p w:rsidR="00A9656A" w:rsidRPr="00B11C0C" w:rsidRDefault="00A9656A" w:rsidP="00A9656A">
      <w:pPr>
        <w:widowControl w:val="0"/>
        <w:autoSpaceDE w:val="0"/>
        <w:autoSpaceDN w:val="0"/>
        <w:adjustRightInd w:val="0"/>
        <w:jc w:val="center"/>
        <w:rPr>
          <w:rFonts w:eastAsia="Calibri"/>
          <w:b/>
          <w:bCs/>
          <w:sz w:val="20"/>
          <w:szCs w:val="20"/>
        </w:rPr>
      </w:pPr>
      <w:r w:rsidRPr="00B11C0C">
        <w:rPr>
          <w:rFonts w:eastAsia="Calibri"/>
          <w:b/>
          <w:bCs/>
          <w:sz w:val="20"/>
          <w:szCs w:val="20"/>
        </w:rPr>
        <w:t xml:space="preserve">от </w:t>
      </w:r>
      <w:r>
        <w:rPr>
          <w:rFonts w:eastAsia="Calibri"/>
          <w:b/>
          <w:bCs/>
          <w:sz w:val="20"/>
          <w:szCs w:val="20"/>
        </w:rPr>
        <w:t>27</w:t>
      </w:r>
      <w:r w:rsidRPr="00B11C0C">
        <w:rPr>
          <w:rFonts w:eastAsia="Calibri"/>
          <w:b/>
          <w:bCs/>
          <w:sz w:val="20"/>
          <w:szCs w:val="20"/>
        </w:rPr>
        <w:t xml:space="preserve"> </w:t>
      </w:r>
      <w:r>
        <w:rPr>
          <w:rFonts w:eastAsia="Calibri"/>
          <w:b/>
          <w:bCs/>
          <w:sz w:val="20"/>
          <w:szCs w:val="20"/>
        </w:rPr>
        <w:t xml:space="preserve">октября </w:t>
      </w:r>
      <w:r w:rsidRPr="00B11C0C">
        <w:rPr>
          <w:rFonts w:eastAsia="Calibri"/>
          <w:b/>
          <w:bCs/>
          <w:sz w:val="20"/>
          <w:szCs w:val="20"/>
        </w:rPr>
        <w:t>201</w:t>
      </w:r>
      <w:r>
        <w:rPr>
          <w:rFonts w:eastAsia="Calibri"/>
          <w:b/>
          <w:bCs/>
          <w:sz w:val="20"/>
          <w:szCs w:val="20"/>
        </w:rPr>
        <w:t>4</w:t>
      </w:r>
      <w:r w:rsidRPr="00B11C0C">
        <w:rPr>
          <w:rFonts w:eastAsia="Calibri"/>
          <w:b/>
          <w:bCs/>
          <w:sz w:val="20"/>
          <w:szCs w:val="20"/>
        </w:rPr>
        <w:t xml:space="preserve"> г. N 03-0</w:t>
      </w:r>
      <w:r>
        <w:rPr>
          <w:rFonts w:eastAsia="Calibri"/>
          <w:b/>
          <w:bCs/>
          <w:sz w:val="20"/>
          <w:szCs w:val="20"/>
        </w:rPr>
        <w:t>8</w:t>
      </w:r>
      <w:r w:rsidRPr="00B11C0C">
        <w:rPr>
          <w:rFonts w:eastAsia="Calibri"/>
          <w:b/>
          <w:bCs/>
          <w:sz w:val="20"/>
          <w:szCs w:val="20"/>
        </w:rPr>
        <w:t>-</w:t>
      </w:r>
      <w:r>
        <w:rPr>
          <w:rFonts w:eastAsia="Calibri"/>
          <w:b/>
          <w:bCs/>
          <w:sz w:val="20"/>
          <w:szCs w:val="20"/>
        </w:rPr>
        <w:t>05</w:t>
      </w:r>
      <w:r w:rsidRPr="00B11C0C">
        <w:rPr>
          <w:rFonts w:eastAsia="Calibri"/>
          <w:b/>
          <w:bCs/>
          <w:sz w:val="20"/>
          <w:szCs w:val="20"/>
        </w:rPr>
        <w:t>/</w:t>
      </w:r>
      <w:r>
        <w:rPr>
          <w:rFonts w:eastAsia="Calibri"/>
          <w:b/>
          <w:bCs/>
          <w:sz w:val="20"/>
          <w:szCs w:val="20"/>
        </w:rPr>
        <w:t>54304</w:t>
      </w:r>
    </w:p>
    <w:p w:rsidR="00A9656A" w:rsidRPr="009B2612" w:rsidRDefault="00A9656A" w:rsidP="00A9656A">
      <w:pPr>
        <w:spacing w:before="100" w:beforeAutospacing="1" w:after="100" w:afterAutospacing="1"/>
        <w:outlineLvl w:val="1"/>
        <w:rPr>
          <w:b/>
          <w:bCs/>
          <w:sz w:val="23"/>
          <w:szCs w:val="23"/>
        </w:rPr>
      </w:pPr>
    </w:p>
    <w:p w:rsidR="009C27C4" w:rsidRPr="009B2612" w:rsidRDefault="009C27C4" w:rsidP="00A9656A">
      <w:pPr>
        <w:spacing w:before="100" w:beforeAutospacing="1" w:after="100" w:afterAutospacing="1"/>
        <w:jc w:val="center"/>
        <w:outlineLvl w:val="1"/>
        <w:rPr>
          <w:b/>
          <w:bCs/>
          <w:sz w:val="23"/>
          <w:szCs w:val="23"/>
        </w:rPr>
      </w:pPr>
      <w:r w:rsidRPr="009C27C4">
        <w:rPr>
          <w:b/>
          <w:bCs/>
          <w:sz w:val="23"/>
          <w:szCs w:val="23"/>
        </w:rPr>
        <w:t>ОБ ОСОБЕННОСТЯХ УЧЕТА ПРОЦЕНТОВ ПО ДОЛГОВЫМ ОБЯЗАТЕЛЬСТВАМ В ЦЕЛЯХ НАЛОГООБЛОЖЕНИЯ</w:t>
      </w:r>
    </w:p>
    <w:p w:rsidR="00F54771" w:rsidRDefault="00F54771" w:rsidP="00F54771">
      <w:pPr>
        <w:spacing w:before="100" w:beforeAutospacing="1" w:after="100" w:afterAutospacing="1"/>
        <w:jc w:val="both"/>
      </w:pPr>
      <w:bookmarkStart w:id="0" w:name="0"/>
      <w:bookmarkEnd w:id="0"/>
    </w:p>
    <w:p w:rsidR="00304E8A" w:rsidRPr="00F54771" w:rsidRDefault="00304E8A" w:rsidP="00F54771">
      <w:pPr>
        <w:spacing w:before="100" w:beforeAutospacing="1" w:after="100" w:afterAutospacing="1"/>
        <w:jc w:val="both"/>
      </w:pPr>
      <w:bookmarkStart w:id="1" w:name="_GoBack"/>
      <w:bookmarkEnd w:id="1"/>
      <w:r w:rsidRPr="00F54771">
        <w:t>Департамент налоговой и таможенно-тарифной политики в связи с обращением о порядке применения статьи 269 Налогового кодекса Российской Федерации (далее - Кодекс) сообщает следующее.</w:t>
      </w:r>
    </w:p>
    <w:p w:rsidR="00304E8A" w:rsidRPr="00F54771" w:rsidRDefault="00304E8A" w:rsidP="00F54771">
      <w:pPr>
        <w:spacing w:before="100" w:beforeAutospacing="1" w:after="100" w:afterAutospacing="1"/>
        <w:jc w:val="both"/>
      </w:pPr>
      <w:proofErr w:type="gramStart"/>
      <w:r w:rsidRPr="00F54771">
        <w:t>В соответствии с пунктом 2 статьи 269 Кодекса, если налогоплательщик - российская организация имеет непогашенную задолженность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 а также по долговому обязательству</w:t>
      </w:r>
      <w:proofErr w:type="gramEnd"/>
      <w:r w:rsidRPr="00F54771">
        <w:t xml:space="preserve">, в </w:t>
      </w:r>
      <w:proofErr w:type="gramStart"/>
      <w:r w:rsidRPr="00F54771">
        <w:t>отношении</w:t>
      </w:r>
      <w:proofErr w:type="gramEnd"/>
      <w:r w:rsidRPr="00F54771">
        <w:t xml:space="preserve">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(далее - контролируемая задолженность перед иностранной организацией), и если размер контролируемой задолженности перед иностранной организацией более чем в 3 раза (для банков, а также для организаций, занимающихся исключительно лизинговой деятельностью, более чем в 12,5 раза) превышает разницу между суммой активов и величиной обязательств налогоплательщика - российской организации (далее - 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пункта 1 статьи 269 Кодекса применяются правила, установленные статьей 269 Кодекса.</w:t>
      </w:r>
    </w:p>
    <w:p w:rsidR="00304E8A" w:rsidRPr="00F54771" w:rsidRDefault="00304E8A" w:rsidP="00F54771">
      <w:pPr>
        <w:spacing w:before="100" w:beforeAutospacing="1" w:after="100" w:afterAutospacing="1"/>
        <w:jc w:val="both"/>
      </w:pPr>
      <w:r w:rsidRPr="00F54771">
        <w:t>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p>
    <w:p w:rsidR="00304E8A" w:rsidRPr="00F54771" w:rsidRDefault="00304E8A" w:rsidP="00F54771">
      <w:pPr>
        <w:spacing w:before="100" w:beforeAutospacing="1" w:after="100" w:afterAutospacing="1"/>
        <w:jc w:val="both"/>
      </w:pPr>
      <w:r w:rsidRPr="00F54771">
        <w:t xml:space="preserve">Коэффициент капитализации определяется путем деления величины соответствующей непогашенной контролируемой задолженности на величину собственного капитала, </w:t>
      </w:r>
      <w:proofErr w:type="gramStart"/>
      <w:r w:rsidRPr="00F54771">
        <w:t>соответствующую</w:t>
      </w:r>
      <w:proofErr w:type="gramEnd"/>
      <w:r w:rsidRPr="00F54771">
        <w:t xml:space="preserve"> доле прямого или косвенного участия этой иностранной организации в уставном (складочном) капитале (фонде) российской организации, и деления полученного результата на три (для банков и организаций, занимающихся лизинговой деятельностью, - на двенадцать с половиной).</w:t>
      </w:r>
    </w:p>
    <w:p w:rsidR="00304E8A" w:rsidRPr="00F54771" w:rsidRDefault="00304E8A" w:rsidP="00F54771">
      <w:pPr>
        <w:spacing w:before="100" w:beforeAutospacing="1" w:after="100" w:afterAutospacing="1"/>
        <w:jc w:val="both"/>
      </w:pPr>
      <w:r w:rsidRPr="00F54771">
        <w:lastRenderedPageBreak/>
        <w:t>При определении величины собственного капитала в расчет не принимаются суммы долговых обязательств в виде задолженности по налогам и сборам, включая текущую задолженность по уплате налогов и сборов, суммы отсрочек, рассрочек и инвестиционного налогового кредита.</w:t>
      </w:r>
    </w:p>
    <w:p w:rsidR="00304E8A" w:rsidRPr="00F54771" w:rsidRDefault="00304E8A" w:rsidP="00F54771">
      <w:pPr>
        <w:spacing w:before="100" w:beforeAutospacing="1" w:after="100" w:afterAutospacing="1"/>
        <w:jc w:val="both"/>
      </w:pPr>
      <w:r w:rsidRPr="00F54771">
        <w:t>Пунктом 3 статьи 269 Кодекса установлено, что в состав расходов включаются проценты по контролируемой задолженности, рассчитанные в соответствии с пунктом 2 данной статьи, но не более фактически начисленных процентов.</w:t>
      </w:r>
    </w:p>
    <w:p w:rsidR="00304E8A" w:rsidRPr="00F54771" w:rsidRDefault="00304E8A" w:rsidP="00F54771">
      <w:pPr>
        <w:spacing w:before="100" w:beforeAutospacing="1" w:after="100" w:afterAutospacing="1"/>
        <w:jc w:val="both"/>
      </w:pPr>
      <w:proofErr w:type="gramStart"/>
      <w:r w:rsidRPr="00F54771">
        <w:t>Согласно пункту 4 статьи 269 Кодекса положительная разница между начисленными процентами и предельными процентами, исчисленными в соответствии с порядком, установленным пунктом 2 статьи 269 Кодекса, приравнивается в целях налогообложения к дивидендам, уплаченным иностранной организации, в отношении которой существует контролируемая задолженность, и облагается налогом в соответствии с пунктом 3 статьи 284 Кодекса.</w:t>
      </w:r>
      <w:proofErr w:type="gramEnd"/>
    </w:p>
    <w:p w:rsidR="00304E8A" w:rsidRPr="00F54771" w:rsidRDefault="00304E8A" w:rsidP="00F54771">
      <w:pPr>
        <w:spacing w:before="100" w:beforeAutospacing="1" w:after="100" w:afterAutospacing="1"/>
        <w:jc w:val="both"/>
      </w:pPr>
      <w:proofErr w:type="gramStart"/>
      <w:r w:rsidRPr="00F54771">
        <w:t>Таким образом, если российская организация, более 20 процентов которой принадлежит иностранной организации, заключила договор займа (кредитный договор) с российской организацией (банком), не являющейся аффилированным лицом как по отношению к указанной иностранной организации и поручителю (иностранной организации, аффилированной с учредителем), так и по отношению к российской организации, являющейся заемщиком, то указанная задолженность признается контролируемой, а процентный доход, выплачиваемый по такому договору</w:t>
      </w:r>
      <w:proofErr w:type="gramEnd"/>
      <w:r w:rsidRPr="00F54771">
        <w:t>, учитывается российской организацией в составе доходов.</w:t>
      </w:r>
    </w:p>
    <w:p w:rsidR="00304E8A" w:rsidRPr="00F54771" w:rsidRDefault="00304E8A" w:rsidP="00F54771">
      <w:pPr>
        <w:spacing w:before="100" w:beforeAutospacing="1" w:after="100" w:afterAutospacing="1"/>
        <w:jc w:val="both"/>
      </w:pPr>
      <w:r w:rsidRPr="00F54771">
        <w:t>Организация - заемщик определяет предельную величину контролируемой задолженности и вправе признать в качестве расходов, уменьшающих налоговую базу по налогу на прибыль организаций, сумму начисленных по договору займа (кредитному договору) процентов в порядке, предусмотренном статьей 269 Кодекса. При этом положительная разница между суммой начисленных процентов и суммой предельных процентов, исчисленной на основании пункта 2 статьи 269 Кодекса, приравнивается в целях налогообложения к дивидендам, выплачиваемым иностранным организациям, и не учитывается российской организацией - заемщиком в составе расходов, уменьшающих налоговую базу по налогу на прибыль организаций. Налогообложение выплачиваемых дивидендов производится российской организацией в виде удержания налога у источника.</w:t>
      </w:r>
    </w:p>
    <w:p w:rsidR="00304E8A" w:rsidRPr="00F54771" w:rsidRDefault="00304E8A" w:rsidP="00F54771">
      <w:pPr>
        <w:spacing w:before="100" w:beforeAutospacing="1" w:after="100" w:afterAutospacing="1"/>
        <w:jc w:val="both"/>
      </w:pPr>
      <w:r w:rsidRPr="00F54771">
        <w:t xml:space="preserve">Одновременно следует учитывать, что фактически выплата положительной разницы между суммой начисленных процентов и суммой предельных процентов, исчисленной на основании пункта 2 статьи 269 Кодекса, осуществляется российской организации, а не иностранной организации. При этом для организации-заимодавца (кредитора) сумма процентов по договору займа (кредитному договору) признается доходами в виде процентов по долговому обязательству в полном объеме, поскольку правила, установленные статьей 269 Кодекса, устанавливают особенности отнесения процентов по долговым обязательствам к расходам, а не к доходам. </w:t>
      </w:r>
      <w:proofErr w:type="gramStart"/>
      <w:r w:rsidRPr="00F54771">
        <w:t>Налогообложение у источника при выплате доходов в виде процентов, выплачиваемых российскими организациям, по долговым обязательствам, оформленным договором займа (кредитным договором) с российскими организациями, Кодексом не предусмотрено.</w:t>
      </w:r>
      <w:proofErr w:type="gramEnd"/>
    </w:p>
    <w:p w:rsidR="00304E8A" w:rsidRPr="00F54771" w:rsidRDefault="00304E8A" w:rsidP="00F54771">
      <w:pPr>
        <w:spacing w:before="100" w:beforeAutospacing="1" w:after="100" w:afterAutospacing="1"/>
        <w:jc w:val="both"/>
      </w:pPr>
      <w:r w:rsidRPr="00F54771">
        <w:t xml:space="preserve">В соответствии с пунктом 7 статьи 3 Кодекса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 В этой связи, по нашему мнению, при выплате российской организации положительной разницы между суммой начисленных процентов </w:t>
      </w:r>
      <w:r w:rsidRPr="00F54771">
        <w:lastRenderedPageBreak/>
        <w:t>и суммой предельных процентов, исчисленной на основании пункта 2 статьи 269 Кодекса, удержание налога с дивидендов организацией-заемщиком не производится.</w:t>
      </w:r>
    </w:p>
    <w:p w:rsidR="00304E8A" w:rsidRDefault="00304E8A" w:rsidP="00F54771">
      <w:pPr>
        <w:spacing w:before="100" w:beforeAutospacing="1" w:after="100" w:afterAutospacing="1"/>
        <w:jc w:val="both"/>
      </w:pPr>
      <w:r w:rsidRPr="00F54771">
        <w:t>Одновременно сообщаем, что настоящее письмо Департамента не содержит правовых норм, не конкретизирует нормативные предписания и не является нормативно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F54771" w:rsidRDefault="00F54771" w:rsidP="00F54771">
      <w:pPr>
        <w:spacing w:before="100" w:beforeAutospacing="1" w:after="100" w:afterAutospacing="1"/>
        <w:jc w:val="both"/>
      </w:pPr>
    </w:p>
    <w:p w:rsidR="00F54771" w:rsidRDefault="00F54771" w:rsidP="00F54771">
      <w:pPr>
        <w:jc w:val="right"/>
      </w:pPr>
      <w:r>
        <w:t>Заместитель директора Департамента</w:t>
      </w:r>
      <w:r>
        <w:t xml:space="preserve"> </w:t>
      </w:r>
      <w:r w:rsidRPr="00F54771">
        <w:t>налоговой и таможенно-тарифной политики</w:t>
      </w:r>
    </w:p>
    <w:p w:rsidR="00F54771" w:rsidRDefault="00F54771" w:rsidP="00F54771">
      <w:pPr>
        <w:jc w:val="right"/>
      </w:pPr>
      <w:r>
        <w:t>А.С. </w:t>
      </w:r>
      <w:proofErr w:type="spellStart"/>
      <w:r>
        <w:t>Кизимов</w:t>
      </w:r>
      <w:proofErr w:type="spellEnd"/>
    </w:p>
    <w:sectPr w:rsidR="00F54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8A"/>
    <w:rsid w:val="00114DFA"/>
    <w:rsid w:val="001E0EB0"/>
    <w:rsid w:val="00253164"/>
    <w:rsid w:val="00304E8A"/>
    <w:rsid w:val="005936C3"/>
    <w:rsid w:val="005A0BE4"/>
    <w:rsid w:val="006C7BEA"/>
    <w:rsid w:val="007270DF"/>
    <w:rsid w:val="009C27C4"/>
    <w:rsid w:val="00A9656A"/>
    <w:rsid w:val="00AB4E05"/>
    <w:rsid w:val="00B5043E"/>
    <w:rsid w:val="00BA4195"/>
    <w:rsid w:val="00C2462F"/>
    <w:rsid w:val="00C5251E"/>
    <w:rsid w:val="00CD27FB"/>
    <w:rsid w:val="00D4782E"/>
    <w:rsid w:val="00F36EFA"/>
    <w:rsid w:val="00F5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04E8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04E8A"/>
    <w:pPr>
      <w:spacing w:before="100" w:beforeAutospacing="1" w:after="100" w:afterAutospacing="1"/>
    </w:pPr>
  </w:style>
  <w:style w:type="character" w:styleId="a4">
    <w:name w:val="Hyperlink"/>
    <w:basedOn w:val="a0"/>
    <w:rsid w:val="00304E8A"/>
    <w:rPr>
      <w:color w:val="0000FF"/>
      <w:u w:val="single"/>
    </w:rPr>
  </w:style>
  <w:style w:type="character" w:customStyle="1" w:styleId="apple-converted-space">
    <w:name w:val="apple-converted-space"/>
    <w:basedOn w:val="a0"/>
    <w:rsid w:val="00304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04E8A"/>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04E8A"/>
    <w:pPr>
      <w:spacing w:before="100" w:beforeAutospacing="1" w:after="100" w:afterAutospacing="1"/>
    </w:pPr>
  </w:style>
  <w:style w:type="character" w:styleId="a4">
    <w:name w:val="Hyperlink"/>
    <w:basedOn w:val="a0"/>
    <w:rsid w:val="00304E8A"/>
    <w:rPr>
      <w:color w:val="0000FF"/>
      <w:u w:val="single"/>
    </w:rPr>
  </w:style>
  <w:style w:type="character" w:customStyle="1" w:styleId="apple-converted-space">
    <w:name w:val="apple-converted-space"/>
    <w:basedOn w:val="a0"/>
    <w:rsid w:val="0030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1441">
      <w:bodyDiv w:val="1"/>
      <w:marLeft w:val="0"/>
      <w:marRight w:val="0"/>
      <w:marTop w:val="0"/>
      <w:marBottom w:val="0"/>
      <w:divBdr>
        <w:top w:val="none" w:sz="0" w:space="0" w:color="auto"/>
        <w:left w:val="none" w:sz="0" w:space="0" w:color="auto"/>
        <w:bottom w:val="none" w:sz="0" w:space="0" w:color="auto"/>
        <w:right w:val="none" w:sz="0" w:space="0" w:color="auto"/>
      </w:divBdr>
      <w:divsChild>
        <w:div w:id="1033337378">
          <w:marLeft w:val="0"/>
          <w:marRight w:val="0"/>
          <w:marTop w:val="100"/>
          <w:marBottom w:val="100"/>
          <w:divBdr>
            <w:top w:val="none" w:sz="0" w:space="0" w:color="auto"/>
            <w:left w:val="none" w:sz="0" w:space="0" w:color="auto"/>
            <w:bottom w:val="none" w:sz="0" w:space="0" w:color="auto"/>
            <w:right w:val="none" w:sz="0" w:space="0" w:color="auto"/>
          </w:divBdr>
          <w:divsChild>
            <w:div w:id="1440294109">
              <w:marLeft w:val="0"/>
              <w:marRight w:val="0"/>
              <w:marTop w:val="0"/>
              <w:marBottom w:val="0"/>
              <w:divBdr>
                <w:top w:val="none" w:sz="0" w:space="0" w:color="auto"/>
                <w:left w:val="none" w:sz="0" w:space="0" w:color="auto"/>
                <w:bottom w:val="none" w:sz="0" w:space="0" w:color="auto"/>
                <w:right w:val="none" w:sz="0" w:space="0" w:color="auto"/>
              </w:divBdr>
              <w:divsChild>
                <w:div w:id="364061460">
                  <w:marLeft w:val="0"/>
                  <w:marRight w:val="0"/>
                  <w:marTop w:val="0"/>
                  <w:marBottom w:val="0"/>
                  <w:divBdr>
                    <w:top w:val="none" w:sz="0" w:space="0" w:color="auto"/>
                    <w:left w:val="none" w:sz="0" w:space="0" w:color="auto"/>
                    <w:bottom w:val="none" w:sz="0" w:space="0" w:color="auto"/>
                    <w:right w:val="none" w:sz="0" w:space="0" w:color="auto"/>
                  </w:divBdr>
                  <w:divsChild>
                    <w:div w:id="115494701">
                      <w:marLeft w:val="0"/>
                      <w:marRight w:val="0"/>
                      <w:marTop w:val="0"/>
                      <w:marBottom w:val="0"/>
                      <w:divBdr>
                        <w:top w:val="none" w:sz="0" w:space="0" w:color="auto"/>
                        <w:left w:val="none" w:sz="0" w:space="0" w:color="auto"/>
                        <w:bottom w:val="none" w:sz="0" w:space="0" w:color="auto"/>
                        <w:right w:val="none" w:sz="0" w:space="0" w:color="auto"/>
                      </w:divBdr>
                      <w:divsChild>
                        <w:div w:id="922883314">
                          <w:marLeft w:val="0"/>
                          <w:marRight w:val="0"/>
                          <w:marTop w:val="0"/>
                          <w:marBottom w:val="0"/>
                          <w:divBdr>
                            <w:top w:val="none" w:sz="0" w:space="0" w:color="auto"/>
                            <w:left w:val="none" w:sz="0" w:space="0" w:color="auto"/>
                            <w:bottom w:val="none" w:sz="0" w:space="0" w:color="auto"/>
                            <w:right w:val="none" w:sz="0" w:space="0" w:color="auto"/>
                          </w:divBdr>
                        </w:div>
                        <w:div w:id="2113090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68339316">
          <w:marLeft w:val="0"/>
          <w:marRight w:val="0"/>
          <w:marTop w:val="100"/>
          <w:marBottom w:val="100"/>
          <w:divBdr>
            <w:top w:val="none" w:sz="0" w:space="0" w:color="auto"/>
            <w:left w:val="none" w:sz="0" w:space="0" w:color="auto"/>
            <w:bottom w:val="none" w:sz="0" w:space="0" w:color="auto"/>
            <w:right w:val="none" w:sz="0" w:space="0" w:color="auto"/>
          </w:divBdr>
          <w:divsChild>
            <w:div w:id="505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Письмо Департамента налоговой и таможенно-тарифной политики Минфина России от 27 октября 2014 г</vt:lpstr>
    </vt:vector>
  </TitlesOfParts>
  <Company>Home</Company>
  <LinksUpToDate>false</LinksUpToDate>
  <CharactersWithSpaces>6878</CharactersWithSpaces>
  <SharedDoc>false</SharedDoc>
  <HLinks>
    <vt:vector size="42" baseType="variant">
      <vt:variant>
        <vt:i4>2424932</vt:i4>
      </vt:variant>
      <vt:variant>
        <vt:i4>18</vt:i4>
      </vt:variant>
      <vt:variant>
        <vt:i4>0</vt:i4>
      </vt:variant>
      <vt:variant>
        <vt:i4>5</vt:i4>
      </vt:variant>
      <vt:variant>
        <vt:lpwstr>http://www.garant.ru/products/ipo/prime/doc/70742466/?prime</vt:lpwstr>
      </vt:variant>
      <vt:variant>
        <vt:lpwstr>ixzz3Q1X7LrqH</vt:lpwstr>
      </vt:variant>
      <vt:variant>
        <vt:i4>6750253</vt:i4>
      </vt:variant>
      <vt:variant>
        <vt:i4>15</vt:i4>
      </vt:variant>
      <vt:variant>
        <vt:i4>0</vt:i4>
      </vt:variant>
      <vt:variant>
        <vt:i4>5</vt:i4>
      </vt:variant>
      <vt:variant>
        <vt:lpwstr>http://top.mail.ru/jump?from=84008</vt:lpwstr>
      </vt:variant>
      <vt:variant>
        <vt:lpwstr/>
      </vt:variant>
      <vt:variant>
        <vt:i4>6553697</vt:i4>
      </vt:variant>
      <vt:variant>
        <vt:i4>12</vt:i4>
      </vt:variant>
      <vt:variant>
        <vt:i4>0</vt:i4>
      </vt:variant>
      <vt:variant>
        <vt:i4>5</vt:i4>
      </vt:variant>
      <vt:variant>
        <vt:lpwstr>http://top100.rambler.ru/home?id=44507</vt:lpwstr>
      </vt:variant>
      <vt:variant>
        <vt:lpwstr/>
      </vt:variant>
      <vt:variant>
        <vt:i4>1835037</vt:i4>
      </vt:variant>
      <vt:variant>
        <vt:i4>9</vt:i4>
      </vt:variant>
      <vt:variant>
        <vt:i4>0</vt:i4>
      </vt:variant>
      <vt:variant>
        <vt:i4>5</vt:i4>
      </vt:variant>
      <vt:variant>
        <vt:lpwstr>http://www.garant.ru/adv/</vt:lpwstr>
      </vt:variant>
      <vt:variant>
        <vt:lpwstr/>
      </vt:variant>
      <vt:variant>
        <vt:i4>5570664</vt:i4>
      </vt:variant>
      <vt:variant>
        <vt:i4>6</vt:i4>
      </vt:variant>
      <vt:variant>
        <vt:i4>0</vt:i4>
      </vt:variant>
      <vt:variant>
        <vt:i4>5</vt:i4>
      </vt:variant>
      <vt:variant>
        <vt:lpwstr>mailto:adv@garant.ru</vt:lpwstr>
      </vt:variant>
      <vt:variant>
        <vt:lpwstr/>
      </vt:variant>
      <vt:variant>
        <vt:i4>4653181</vt:i4>
      </vt:variant>
      <vt:variant>
        <vt:i4>3</vt:i4>
      </vt:variant>
      <vt:variant>
        <vt:i4>0</vt:i4>
      </vt:variant>
      <vt:variant>
        <vt:i4>5</vt:i4>
      </vt:variant>
      <vt:variant>
        <vt:lpwstr>mailto:editor@garant.ru</vt:lpwstr>
      </vt:variant>
      <vt:variant>
        <vt:lpwstr/>
      </vt:variant>
      <vt:variant>
        <vt:i4>3014670</vt:i4>
      </vt:variant>
      <vt:variant>
        <vt:i4>0</vt:i4>
      </vt:variant>
      <vt:variant>
        <vt:i4>0</vt:i4>
      </vt:variant>
      <vt:variant>
        <vt:i4>5</vt:i4>
      </vt:variant>
      <vt:variant>
        <vt:lpwstr>mailto:internet@garant.ru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Департамента налоговой и таможенно-тарифной политики Минфина России от 27 октября 2014 г</dc:title>
  <dc:subject/>
  <dc:creator>Светлана</dc:creator>
  <cp:keywords/>
  <dc:description/>
  <cp:lastModifiedBy>Светлана Проклова</cp:lastModifiedBy>
  <cp:revision>5</cp:revision>
  <dcterms:created xsi:type="dcterms:W3CDTF">2015-01-30T09:36:00Z</dcterms:created>
  <dcterms:modified xsi:type="dcterms:W3CDTF">2015-01-30T09:46:00Z</dcterms:modified>
</cp:coreProperties>
</file>