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8C" w:rsidRPr="00190EF4" w:rsidRDefault="0033268C" w:rsidP="0033268C">
      <w:pPr>
        <w:widowControl w:val="0"/>
        <w:autoSpaceDE w:val="0"/>
        <w:autoSpaceDN w:val="0"/>
        <w:adjustRightInd w:val="0"/>
        <w:jc w:val="center"/>
        <w:rPr>
          <w:rFonts w:eastAsia="Calibri"/>
          <w:b/>
          <w:bCs/>
          <w:sz w:val="20"/>
          <w:szCs w:val="20"/>
        </w:rPr>
      </w:pPr>
      <w:r w:rsidRPr="00190EF4">
        <w:rPr>
          <w:rFonts w:eastAsia="Calibri"/>
          <w:b/>
          <w:bCs/>
          <w:sz w:val="20"/>
          <w:szCs w:val="20"/>
        </w:rPr>
        <w:t>МИНИСТЕРСТВО ФИНАНСОВ РОССИЙСКОЙ ФЕДЕРАЦИИ</w:t>
      </w:r>
    </w:p>
    <w:p w:rsidR="0033268C" w:rsidRPr="00190EF4" w:rsidRDefault="0033268C" w:rsidP="0033268C">
      <w:pPr>
        <w:widowControl w:val="0"/>
        <w:autoSpaceDE w:val="0"/>
        <w:autoSpaceDN w:val="0"/>
        <w:adjustRightInd w:val="0"/>
        <w:jc w:val="center"/>
        <w:rPr>
          <w:rFonts w:eastAsia="Calibri"/>
          <w:b/>
          <w:bCs/>
          <w:sz w:val="20"/>
          <w:szCs w:val="20"/>
        </w:rPr>
      </w:pPr>
    </w:p>
    <w:p w:rsidR="0033268C" w:rsidRDefault="0033268C" w:rsidP="0033268C">
      <w:pPr>
        <w:widowControl w:val="0"/>
        <w:autoSpaceDE w:val="0"/>
        <w:autoSpaceDN w:val="0"/>
        <w:adjustRightInd w:val="0"/>
        <w:jc w:val="center"/>
        <w:rPr>
          <w:rFonts w:eastAsia="Calibri"/>
          <w:b/>
          <w:bCs/>
          <w:sz w:val="20"/>
          <w:szCs w:val="20"/>
        </w:rPr>
      </w:pPr>
      <w:r w:rsidRPr="00A15DA1">
        <w:rPr>
          <w:rFonts w:eastAsia="Calibri"/>
          <w:b/>
          <w:bCs/>
          <w:sz w:val="20"/>
          <w:szCs w:val="20"/>
        </w:rPr>
        <w:t>ДЕПАРТАМЕНТ НАЛОГОВОЙ И ТАМОЖЕННО-ТАРИФНОЙ ПОЛИТИКИ</w:t>
      </w:r>
    </w:p>
    <w:p w:rsidR="0033268C" w:rsidRPr="00190EF4" w:rsidRDefault="0033268C" w:rsidP="0033268C">
      <w:pPr>
        <w:widowControl w:val="0"/>
        <w:autoSpaceDE w:val="0"/>
        <w:autoSpaceDN w:val="0"/>
        <w:adjustRightInd w:val="0"/>
        <w:jc w:val="center"/>
        <w:rPr>
          <w:rFonts w:eastAsia="Calibri"/>
          <w:b/>
          <w:bCs/>
          <w:sz w:val="20"/>
          <w:szCs w:val="20"/>
        </w:rPr>
      </w:pPr>
    </w:p>
    <w:p w:rsidR="0033268C" w:rsidRDefault="0033268C" w:rsidP="0033268C">
      <w:pPr>
        <w:widowControl w:val="0"/>
        <w:autoSpaceDE w:val="0"/>
        <w:autoSpaceDN w:val="0"/>
        <w:adjustRightInd w:val="0"/>
        <w:jc w:val="center"/>
        <w:rPr>
          <w:rFonts w:eastAsia="Calibri"/>
          <w:b/>
          <w:bCs/>
          <w:sz w:val="20"/>
          <w:szCs w:val="20"/>
        </w:rPr>
      </w:pPr>
      <w:r w:rsidRPr="002E3951">
        <w:rPr>
          <w:rFonts w:eastAsia="Calibri"/>
          <w:b/>
          <w:bCs/>
          <w:sz w:val="20"/>
          <w:szCs w:val="20"/>
        </w:rPr>
        <w:t>ПИСЬМО</w:t>
      </w:r>
    </w:p>
    <w:p w:rsidR="0033268C" w:rsidRPr="00954B23" w:rsidRDefault="0033268C" w:rsidP="0033268C">
      <w:pPr>
        <w:widowControl w:val="0"/>
        <w:autoSpaceDE w:val="0"/>
        <w:autoSpaceDN w:val="0"/>
        <w:adjustRightInd w:val="0"/>
        <w:jc w:val="center"/>
        <w:rPr>
          <w:rFonts w:eastAsia="Calibri"/>
          <w:b/>
          <w:bCs/>
          <w:sz w:val="20"/>
          <w:szCs w:val="20"/>
        </w:rPr>
      </w:pPr>
    </w:p>
    <w:p w:rsidR="0033268C" w:rsidRPr="00954B23" w:rsidRDefault="0033268C" w:rsidP="0033268C">
      <w:pPr>
        <w:widowControl w:val="0"/>
        <w:autoSpaceDE w:val="0"/>
        <w:autoSpaceDN w:val="0"/>
        <w:adjustRightInd w:val="0"/>
        <w:jc w:val="center"/>
        <w:rPr>
          <w:rFonts w:eastAsia="Calibri"/>
          <w:b/>
          <w:bCs/>
          <w:sz w:val="20"/>
          <w:szCs w:val="20"/>
        </w:rPr>
      </w:pPr>
      <w:r w:rsidRPr="002E3951">
        <w:rPr>
          <w:rFonts w:eastAsia="Calibri"/>
          <w:b/>
          <w:bCs/>
          <w:sz w:val="20"/>
          <w:szCs w:val="20"/>
        </w:rPr>
        <w:t xml:space="preserve">от 25 </w:t>
      </w:r>
      <w:r>
        <w:rPr>
          <w:rFonts w:eastAsia="Calibri"/>
          <w:b/>
          <w:bCs/>
          <w:sz w:val="20"/>
          <w:szCs w:val="20"/>
        </w:rPr>
        <w:t>мая</w:t>
      </w:r>
      <w:r w:rsidRPr="002E3951">
        <w:rPr>
          <w:rFonts w:eastAsia="Calibri"/>
          <w:b/>
          <w:bCs/>
          <w:sz w:val="20"/>
          <w:szCs w:val="20"/>
        </w:rPr>
        <w:t xml:space="preserve"> 201</w:t>
      </w:r>
      <w:r>
        <w:rPr>
          <w:rFonts w:eastAsia="Calibri"/>
          <w:b/>
          <w:bCs/>
          <w:sz w:val="20"/>
          <w:szCs w:val="20"/>
        </w:rPr>
        <w:t>5</w:t>
      </w:r>
      <w:r w:rsidRPr="002E3951">
        <w:rPr>
          <w:rFonts w:eastAsia="Calibri"/>
          <w:b/>
          <w:bCs/>
          <w:sz w:val="20"/>
          <w:szCs w:val="20"/>
        </w:rPr>
        <w:t xml:space="preserve"> г. N 03-01-18/</w:t>
      </w:r>
      <w:r>
        <w:rPr>
          <w:rFonts w:eastAsia="Calibri"/>
          <w:b/>
          <w:bCs/>
          <w:sz w:val="20"/>
          <w:szCs w:val="20"/>
        </w:rPr>
        <w:t>29936</w:t>
      </w:r>
    </w:p>
    <w:p w:rsidR="0033268C" w:rsidRDefault="0033268C" w:rsidP="0033268C">
      <w:pPr>
        <w:widowControl w:val="0"/>
        <w:autoSpaceDE w:val="0"/>
        <w:autoSpaceDN w:val="0"/>
        <w:adjustRightInd w:val="0"/>
        <w:jc w:val="center"/>
        <w:rPr>
          <w:rFonts w:eastAsia="Calibri"/>
          <w:b/>
          <w:bCs/>
          <w:sz w:val="20"/>
          <w:szCs w:val="20"/>
        </w:rPr>
      </w:pPr>
    </w:p>
    <w:p w:rsidR="0033268C" w:rsidRPr="008900B3" w:rsidRDefault="00337492" w:rsidP="008900B3">
      <w:pPr>
        <w:spacing w:before="100" w:beforeAutospacing="1" w:after="100" w:afterAutospacing="1"/>
        <w:jc w:val="center"/>
        <w:outlineLvl w:val="1"/>
        <w:rPr>
          <w:b/>
          <w:bCs/>
          <w:sz w:val="23"/>
          <w:szCs w:val="23"/>
        </w:rPr>
      </w:pPr>
      <w:r w:rsidRPr="008900B3">
        <w:rPr>
          <w:b/>
          <w:bCs/>
          <w:sz w:val="23"/>
          <w:szCs w:val="23"/>
        </w:rPr>
        <w:t>ОБ ОСОБЕННОСТЯХ НАЛОГООБЛОЖЕНИЯ КОНТРОЛИРУЕМЫХ СДЕЛОК</w:t>
      </w:r>
    </w:p>
    <w:p w:rsidR="0033268C" w:rsidRPr="0033268C" w:rsidRDefault="0033268C" w:rsidP="00EE2AB1">
      <w:pPr>
        <w:pStyle w:val="2"/>
        <w:spacing w:before="0" w:beforeAutospacing="0" w:after="131" w:afterAutospacing="0" w:line="154" w:lineRule="atLeast"/>
        <w:rPr>
          <w:rFonts w:ascii="Arial" w:hAnsi="Arial" w:cs="Arial"/>
          <w:color w:val="4D4D4D"/>
          <w:sz w:val="28"/>
          <w:szCs w:val="28"/>
        </w:rPr>
      </w:pPr>
    </w:p>
    <w:p w:rsidR="00EE2AB1" w:rsidRPr="00337492" w:rsidRDefault="00EE2AB1" w:rsidP="00337492">
      <w:pPr>
        <w:spacing w:before="100" w:beforeAutospacing="1" w:after="100" w:afterAutospacing="1"/>
        <w:jc w:val="both"/>
        <w:rPr>
          <w:rFonts w:ascii="Arial" w:hAnsi="Arial" w:cs="Arial"/>
          <w:sz w:val="21"/>
          <w:szCs w:val="21"/>
        </w:rPr>
      </w:pPr>
      <w:bookmarkStart w:id="0" w:name="0"/>
      <w:bookmarkEnd w:id="0"/>
      <w:r w:rsidRPr="00337492">
        <w:rPr>
          <w:rFonts w:ascii="Arial" w:hAnsi="Arial" w:cs="Arial"/>
          <w:sz w:val="21"/>
          <w:szCs w:val="21"/>
        </w:rPr>
        <w:t>Департамент налоговой и таможенно-тарифной политики рассмотрел обращение по вопросу применения отдельных положений статьи 105.14 Налогового кодекса Российской Федерации (далее - Кодекс) и сообщает.</w:t>
      </w:r>
    </w:p>
    <w:p w:rsidR="00EE2AB1" w:rsidRPr="00337492" w:rsidRDefault="00EE2AB1" w:rsidP="00337492">
      <w:pPr>
        <w:spacing w:before="100" w:beforeAutospacing="1" w:after="100" w:afterAutospacing="1"/>
        <w:jc w:val="both"/>
        <w:rPr>
          <w:rFonts w:ascii="Arial" w:hAnsi="Arial" w:cs="Arial"/>
          <w:sz w:val="21"/>
          <w:szCs w:val="21"/>
        </w:rPr>
      </w:pPr>
      <w:proofErr w:type="gramStart"/>
      <w:r w:rsidRPr="00337492">
        <w:rPr>
          <w:rFonts w:ascii="Arial" w:hAnsi="Arial" w:cs="Arial"/>
          <w:sz w:val="21"/>
          <w:szCs w:val="21"/>
        </w:rPr>
        <w:t>В соответствии с пунктом 1 статьи 105.3 Кодекса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разделом V.1 Кодекса сопоставимыми, между лицами, не являющимися взаимозависимыми, то любые доходы (прибыль, выручка), которые могли бы быть получены одним из этих лиц</w:t>
      </w:r>
      <w:proofErr w:type="gramEnd"/>
      <w:r w:rsidRPr="00337492">
        <w:rPr>
          <w:rFonts w:ascii="Arial" w:hAnsi="Arial" w:cs="Arial"/>
          <w:sz w:val="21"/>
          <w:szCs w:val="21"/>
        </w:rPr>
        <w:t>, но вследствие указанного отличия не были им получены, учитываются для целей налогообложения у этого лица.</w:t>
      </w:r>
    </w:p>
    <w:p w:rsidR="00EE2AB1" w:rsidRPr="00337492" w:rsidRDefault="00EE2AB1" w:rsidP="00337492">
      <w:pPr>
        <w:spacing w:before="100" w:beforeAutospacing="1" w:after="100" w:afterAutospacing="1"/>
        <w:jc w:val="both"/>
        <w:rPr>
          <w:rFonts w:ascii="Arial" w:hAnsi="Arial" w:cs="Arial"/>
          <w:sz w:val="21"/>
          <w:szCs w:val="21"/>
        </w:rPr>
      </w:pPr>
      <w:r w:rsidRPr="00337492">
        <w:rPr>
          <w:rFonts w:ascii="Arial" w:hAnsi="Arial" w:cs="Arial"/>
          <w:sz w:val="21"/>
          <w:szCs w:val="21"/>
        </w:rPr>
        <w:t>Учитывая изложенное, полагаем, что сделки по предоставлению беспроцентного займа между взаимозависимыми лицами могут являться примером создания или установления коммерческих или финансовых условий, отли</w:t>
      </w:r>
      <w:bookmarkStart w:id="1" w:name="_GoBack"/>
      <w:bookmarkEnd w:id="1"/>
      <w:r w:rsidRPr="00337492">
        <w:rPr>
          <w:rFonts w:ascii="Arial" w:hAnsi="Arial" w:cs="Arial"/>
          <w:sz w:val="21"/>
          <w:szCs w:val="21"/>
        </w:rPr>
        <w:t>чных от тех, которые имели бы место в сделках, признаваемых в соответствии с разделом V.1 Кодекса сопоставимыми, между лицами, не являющимися взаимозависимыми. В связи с этим считаем, что любые доходы (прибыль, выручка), которые могли бы быть получены одним из взаимозависимых лиц по таким сделкам, но вследствие указанного отличия не были им получены, должны учитываться для целей налогообложения у этого лица.</w:t>
      </w:r>
    </w:p>
    <w:p w:rsidR="00EE2AB1" w:rsidRPr="00337492" w:rsidRDefault="00EE2AB1" w:rsidP="00337492">
      <w:pPr>
        <w:spacing w:before="100" w:beforeAutospacing="1" w:after="100" w:afterAutospacing="1"/>
        <w:jc w:val="both"/>
        <w:rPr>
          <w:rFonts w:ascii="Arial" w:hAnsi="Arial" w:cs="Arial"/>
          <w:sz w:val="21"/>
          <w:szCs w:val="21"/>
        </w:rPr>
      </w:pPr>
      <w:r w:rsidRPr="00337492">
        <w:rPr>
          <w:rFonts w:ascii="Arial" w:hAnsi="Arial" w:cs="Arial"/>
          <w:sz w:val="21"/>
          <w:szCs w:val="21"/>
        </w:rPr>
        <w:t>При этом на основании пункта 6 статьи 105.3 Кодекса налогоплательщик вправе самостоятельно произвести корректировку налоговой базы и сумм соответствующих налогов по истечении календарного года, включающего налоговый период (налоговые периоды) по налогам, суммы которых подлежат корректировке.</w:t>
      </w:r>
    </w:p>
    <w:p w:rsidR="00EE2AB1" w:rsidRPr="00337492" w:rsidRDefault="00EE2AB1" w:rsidP="00337492">
      <w:pPr>
        <w:spacing w:before="100" w:beforeAutospacing="1" w:after="100" w:afterAutospacing="1"/>
        <w:jc w:val="both"/>
        <w:rPr>
          <w:rFonts w:ascii="Arial" w:hAnsi="Arial" w:cs="Arial"/>
          <w:sz w:val="21"/>
          <w:szCs w:val="21"/>
        </w:rPr>
      </w:pPr>
      <w:r w:rsidRPr="00337492">
        <w:rPr>
          <w:rFonts w:ascii="Arial" w:hAnsi="Arial" w:cs="Arial"/>
          <w:sz w:val="21"/>
          <w:szCs w:val="21"/>
        </w:rPr>
        <w:t>Статьей 105.14 Кодекса установлено, что контролируемыми сделками признаются сделки между взаимозависимыми лицами (с учетом особенностей, предусмотренных указанной статьей).</w:t>
      </w:r>
    </w:p>
    <w:p w:rsidR="00EE2AB1" w:rsidRPr="00337492" w:rsidRDefault="00EE2AB1" w:rsidP="00337492">
      <w:pPr>
        <w:spacing w:before="100" w:beforeAutospacing="1" w:after="100" w:afterAutospacing="1"/>
        <w:jc w:val="both"/>
        <w:rPr>
          <w:rFonts w:ascii="Arial" w:hAnsi="Arial" w:cs="Arial"/>
          <w:sz w:val="21"/>
          <w:szCs w:val="21"/>
        </w:rPr>
      </w:pPr>
      <w:r w:rsidRPr="00337492">
        <w:rPr>
          <w:rFonts w:ascii="Arial" w:hAnsi="Arial" w:cs="Arial"/>
          <w:sz w:val="21"/>
          <w:szCs w:val="21"/>
        </w:rPr>
        <w:t>Согласно статье 105.16 Кодекса налогоплательщики обязаны уведомлять налоговые органы о совершенных ими в календарном году контролируемых сделках. Соответственно, если сделка не является контролируемой, то представление уведомления в отношении этой сделки не требуется.</w:t>
      </w:r>
    </w:p>
    <w:p w:rsidR="00EE2AB1" w:rsidRPr="00337492" w:rsidRDefault="00EE2AB1" w:rsidP="00337492">
      <w:pPr>
        <w:spacing w:before="100" w:beforeAutospacing="1" w:after="100" w:afterAutospacing="1"/>
        <w:jc w:val="both"/>
        <w:rPr>
          <w:rFonts w:ascii="Arial" w:hAnsi="Arial" w:cs="Arial"/>
          <w:sz w:val="21"/>
          <w:szCs w:val="21"/>
        </w:rPr>
      </w:pPr>
      <w:r w:rsidRPr="00337492">
        <w:rPr>
          <w:rFonts w:ascii="Arial" w:hAnsi="Arial" w:cs="Arial"/>
          <w:sz w:val="21"/>
          <w:szCs w:val="21"/>
        </w:rPr>
        <w:t>Обращаем внимание, что федеральный орган исполнительной власти, уполномоченный по контролю и надзору в области налогов и сборов, для целей статьи 105.14 Кодекса вправе проверить соответствие сумм полученных доходов по сделкам рыночному уровню с учетом положений главы 14.2 и 14.3 Кодекса.</w:t>
      </w:r>
    </w:p>
    <w:p w:rsidR="00EE2AB1" w:rsidRPr="00337492" w:rsidRDefault="00EE2AB1" w:rsidP="00337492">
      <w:pPr>
        <w:spacing w:before="100" w:beforeAutospacing="1" w:after="100" w:afterAutospacing="1"/>
        <w:jc w:val="both"/>
        <w:rPr>
          <w:rFonts w:ascii="Arial" w:hAnsi="Arial" w:cs="Arial"/>
          <w:sz w:val="21"/>
          <w:szCs w:val="21"/>
        </w:rPr>
      </w:pPr>
      <w:proofErr w:type="gramStart"/>
      <w:r w:rsidRPr="00337492">
        <w:rPr>
          <w:rFonts w:ascii="Arial" w:hAnsi="Arial" w:cs="Arial"/>
          <w:sz w:val="21"/>
          <w:szCs w:val="21"/>
        </w:rPr>
        <w:t xml:space="preserve">Проверка полноты исчисления и уплаты налогов в связи с совершением сделок между взаимозависимыми лицами на основании абзаца 2 пункта 1 статьи 105.17 Кодекса проводится федеральным органом исполнительной власти, уполномоченным по контролю и надзору в области налогов и сборов на основании уведомления о контролируемых сделках или извещения территориального налогового органа, проводящего выездную или камеральную </w:t>
      </w:r>
      <w:r w:rsidRPr="00337492">
        <w:rPr>
          <w:rFonts w:ascii="Arial" w:hAnsi="Arial" w:cs="Arial"/>
          <w:sz w:val="21"/>
          <w:szCs w:val="21"/>
        </w:rPr>
        <w:lastRenderedPageBreak/>
        <w:t>налоговую проверку, налоговый мониторинг налогоплательщика, направленных в</w:t>
      </w:r>
      <w:proofErr w:type="gramEnd"/>
      <w:r w:rsidRPr="00337492">
        <w:rPr>
          <w:rFonts w:ascii="Arial" w:hAnsi="Arial" w:cs="Arial"/>
          <w:sz w:val="21"/>
          <w:szCs w:val="21"/>
        </w:rPr>
        <w:t xml:space="preserve"> </w:t>
      </w:r>
      <w:proofErr w:type="gramStart"/>
      <w:r w:rsidRPr="00337492">
        <w:rPr>
          <w:rFonts w:ascii="Arial" w:hAnsi="Arial" w:cs="Arial"/>
          <w:sz w:val="21"/>
          <w:szCs w:val="21"/>
        </w:rPr>
        <w:t>соответствии со статьей 105.16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roofErr w:type="gramEnd"/>
    </w:p>
    <w:p w:rsidR="00EE2AB1" w:rsidRPr="00337492" w:rsidRDefault="00EE2AB1" w:rsidP="00337492">
      <w:pPr>
        <w:spacing w:before="100" w:beforeAutospacing="1" w:after="100" w:afterAutospacing="1"/>
        <w:jc w:val="both"/>
        <w:rPr>
          <w:rFonts w:ascii="Arial" w:hAnsi="Arial" w:cs="Arial"/>
          <w:sz w:val="21"/>
          <w:szCs w:val="21"/>
        </w:rPr>
      </w:pPr>
      <w:r w:rsidRPr="00337492">
        <w:rPr>
          <w:rFonts w:ascii="Arial" w:hAnsi="Arial" w:cs="Arial"/>
          <w:sz w:val="21"/>
          <w:szCs w:val="21"/>
        </w:rPr>
        <w:t>Решение о назначении проверки полноты исчисления и уплаты налогов в связи с совершением сделок между взаимозависимыми лицами принимается федеральным органом исполнительной власти, уполномоченным по контролю и надзору в области налогов и сборов, по месту его нахождения.</w:t>
      </w:r>
    </w:p>
    <w:p w:rsidR="00EE2AB1" w:rsidRPr="00337492" w:rsidRDefault="00EE2AB1" w:rsidP="00337492">
      <w:pPr>
        <w:spacing w:before="100" w:beforeAutospacing="1" w:after="100" w:afterAutospacing="1"/>
        <w:jc w:val="both"/>
        <w:rPr>
          <w:rFonts w:ascii="Arial" w:hAnsi="Arial" w:cs="Arial"/>
          <w:sz w:val="21"/>
          <w:szCs w:val="21"/>
        </w:rPr>
      </w:pPr>
      <w:proofErr w:type="gramStart"/>
      <w:r w:rsidRPr="00337492">
        <w:rPr>
          <w:rFonts w:ascii="Arial" w:hAnsi="Arial" w:cs="Arial"/>
          <w:sz w:val="21"/>
          <w:szCs w:val="21"/>
        </w:rPr>
        <w:t>В свою очередь в случае, если в ходе контрольной работы территориальным налоговым органом выявлен факт совершения сделки, которая по условиям договоров не подпадает под контролируемую, но при этом, по предварительной оценке, сделка относится к контролируемым, территориальным налоговым органом может быть подготовлено информационное письмо в федеральный орган исполнительной власти, уполномоченный по контролю и надзору в области налогов и сборов, в котором</w:t>
      </w:r>
      <w:proofErr w:type="gramEnd"/>
      <w:r w:rsidRPr="00337492">
        <w:rPr>
          <w:rFonts w:ascii="Arial" w:hAnsi="Arial" w:cs="Arial"/>
          <w:sz w:val="21"/>
          <w:szCs w:val="21"/>
        </w:rPr>
        <w:t xml:space="preserve"> излагаются факты, свидетельствующие о занижении сумм соответствующих налогов. Указанная информация может служить основанием для повторной выездной налоговой проверки в порядке </w:t>
      </w:r>
      <w:proofErr w:type="gramStart"/>
      <w:r w:rsidRPr="00337492">
        <w:rPr>
          <w:rFonts w:ascii="Arial" w:hAnsi="Arial" w:cs="Arial"/>
          <w:sz w:val="21"/>
          <w:szCs w:val="21"/>
        </w:rPr>
        <w:t>контроля за</w:t>
      </w:r>
      <w:proofErr w:type="gramEnd"/>
      <w:r w:rsidRPr="00337492">
        <w:rPr>
          <w:rFonts w:ascii="Arial" w:hAnsi="Arial" w:cs="Arial"/>
          <w:sz w:val="21"/>
          <w:szCs w:val="21"/>
        </w:rPr>
        <w:t xml:space="preserve"> деятельностью налогового органа, проводившего проверку, с последующей проверкой полноты исчисления и уплаты налогов в связи с совершением сделок между взаимозависимыми лицами.</w:t>
      </w:r>
    </w:p>
    <w:p w:rsidR="00EE2AB1" w:rsidRDefault="00EE2AB1" w:rsidP="00337492">
      <w:pPr>
        <w:spacing w:before="100" w:beforeAutospacing="1" w:after="100" w:afterAutospacing="1"/>
        <w:jc w:val="both"/>
        <w:rPr>
          <w:rFonts w:ascii="Arial" w:hAnsi="Arial" w:cs="Arial"/>
          <w:sz w:val="21"/>
          <w:szCs w:val="21"/>
        </w:rPr>
      </w:pPr>
      <w:r w:rsidRPr="00337492">
        <w:rPr>
          <w:rFonts w:ascii="Arial" w:hAnsi="Arial" w:cs="Arial"/>
          <w:sz w:val="21"/>
          <w:szCs w:val="21"/>
        </w:rPr>
        <w:t>Настоящее письмо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337492" w:rsidRPr="00954B23" w:rsidRDefault="00337492" w:rsidP="00337492">
      <w:pPr>
        <w:spacing w:after="120"/>
        <w:jc w:val="right"/>
        <w:rPr>
          <w:rFonts w:ascii="Arial" w:hAnsi="Arial" w:cs="Arial"/>
          <w:sz w:val="21"/>
          <w:szCs w:val="21"/>
        </w:rPr>
      </w:pPr>
      <w:r w:rsidRPr="00954B23">
        <w:rPr>
          <w:rFonts w:ascii="Arial" w:hAnsi="Arial" w:cs="Arial"/>
          <w:sz w:val="21"/>
          <w:szCs w:val="21"/>
        </w:rPr>
        <w:t>Заместитель директора</w:t>
      </w:r>
      <w:r>
        <w:rPr>
          <w:rFonts w:ascii="Arial" w:hAnsi="Arial" w:cs="Arial"/>
          <w:sz w:val="21"/>
          <w:szCs w:val="21"/>
        </w:rPr>
        <w:t xml:space="preserve"> </w:t>
      </w:r>
      <w:r w:rsidRPr="00954B23">
        <w:rPr>
          <w:rFonts w:ascii="Arial" w:hAnsi="Arial" w:cs="Arial"/>
          <w:sz w:val="21"/>
          <w:szCs w:val="21"/>
        </w:rPr>
        <w:t>Департамента</w:t>
      </w:r>
    </w:p>
    <w:p w:rsidR="00337492" w:rsidRPr="00954B23" w:rsidRDefault="00337492" w:rsidP="00337492">
      <w:pPr>
        <w:spacing w:after="120"/>
        <w:jc w:val="right"/>
        <w:rPr>
          <w:rFonts w:ascii="Arial" w:hAnsi="Arial" w:cs="Arial"/>
          <w:sz w:val="21"/>
          <w:szCs w:val="21"/>
        </w:rPr>
      </w:pPr>
      <w:r w:rsidRPr="00954B23">
        <w:rPr>
          <w:rFonts w:ascii="Arial" w:hAnsi="Arial" w:cs="Arial"/>
          <w:sz w:val="21"/>
          <w:szCs w:val="21"/>
        </w:rPr>
        <w:t>А.С.КИЗИМОВ</w:t>
      </w:r>
    </w:p>
    <w:p w:rsidR="00337492" w:rsidRDefault="00337492" w:rsidP="00337492">
      <w:pPr>
        <w:spacing w:before="100" w:beforeAutospacing="1" w:after="100" w:afterAutospacing="1"/>
        <w:jc w:val="both"/>
        <w:rPr>
          <w:rFonts w:ascii="Arial" w:hAnsi="Arial" w:cs="Arial"/>
          <w:sz w:val="21"/>
          <w:szCs w:val="21"/>
        </w:rPr>
      </w:pPr>
    </w:p>
    <w:p w:rsidR="00337492" w:rsidRPr="00337492" w:rsidRDefault="00337492" w:rsidP="00337492">
      <w:pPr>
        <w:spacing w:before="100" w:beforeAutospacing="1" w:after="100" w:afterAutospacing="1"/>
        <w:jc w:val="both"/>
        <w:rPr>
          <w:rFonts w:ascii="Arial" w:hAnsi="Arial" w:cs="Arial"/>
          <w:sz w:val="21"/>
          <w:szCs w:val="21"/>
        </w:rPr>
      </w:pPr>
    </w:p>
    <w:sectPr w:rsidR="00337492" w:rsidRPr="00337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B1"/>
    <w:rsid w:val="00114DFA"/>
    <w:rsid w:val="001E0EB0"/>
    <w:rsid w:val="00253164"/>
    <w:rsid w:val="0033268C"/>
    <w:rsid w:val="00337492"/>
    <w:rsid w:val="005936C3"/>
    <w:rsid w:val="005A0BE4"/>
    <w:rsid w:val="006C7BEA"/>
    <w:rsid w:val="007270DF"/>
    <w:rsid w:val="008900B3"/>
    <w:rsid w:val="00AB4E05"/>
    <w:rsid w:val="00B5043E"/>
    <w:rsid w:val="00BA4195"/>
    <w:rsid w:val="00C5251E"/>
    <w:rsid w:val="00CD27FB"/>
    <w:rsid w:val="00D4782E"/>
    <w:rsid w:val="00EE13AE"/>
    <w:rsid w:val="00EE2AB1"/>
    <w:rsid w:val="00F36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EE2AB1"/>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E2AB1"/>
    <w:pPr>
      <w:spacing w:before="100" w:beforeAutospacing="1" w:after="100" w:afterAutospacing="1"/>
    </w:pPr>
  </w:style>
  <w:style w:type="character" w:customStyle="1" w:styleId="apple-converted-space">
    <w:name w:val="apple-converted-space"/>
    <w:basedOn w:val="a0"/>
    <w:rsid w:val="00EE2AB1"/>
  </w:style>
  <w:style w:type="character" w:styleId="a4">
    <w:name w:val="Hyperlink"/>
    <w:basedOn w:val="a0"/>
    <w:rsid w:val="00EE2A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EE2AB1"/>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E2AB1"/>
    <w:pPr>
      <w:spacing w:before="100" w:beforeAutospacing="1" w:after="100" w:afterAutospacing="1"/>
    </w:pPr>
  </w:style>
  <w:style w:type="character" w:customStyle="1" w:styleId="apple-converted-space">
    <w:name w:val="apple-converted-space"/>
    <w:basedOn w:val="a0"/>
    <w:rsid w:val="00EE2AB1"/>
  </w:style>
  <w:style w:type="character" w:styleId="a4">
    <w:name w:val="Hyperlink"/>
    <w:basedOn w:val="a0"/>
    <w:rsid w:val="00EE2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3062">
      <w:bodyDiv w:val="1"/>
      <w:marLeft w:val="0"/>
      <w:marRight w:val="0"/>
      <w:marTop w:val="0"/>
      <w:marBottom w:val="0"/>
      <w:divBdr>
        <w:top w:val="none" w:sz="0" w:space="0" w:color="auto"/>
        <w:left w:val="none" w:sz="0" w:space="0" w:color="auto"/>
        <w:bottom w:val="none" w:sz="0" w:space="0" w:color="auto"/>
        <w:right w:val="none" w:sz="0" w:space="0" w:color="auto"/>
      </w:divBdr>
      <w:divsChild>
        <w:div w:id="2053924244">
          <w:marLeft w:val="0"/>
          <w:marRight w:val="0"/>
          <w:marTop w:val="0"/>
          <w:marBottom w:val="92"/>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Письмо Департамента налоговой и таможенно-тарифной политики Минфина России от 25 мая 2015 г</vt:lpstr>
    </vt:vector>
  </TitlesOfParts>
  <Company>Home</Company>
  <LinksUpToDate>false</LinksUpToDate>
  <CharactersWithSpaces>5022</CharactersWithSpaces>
  <SharedDoc>false</SharedDoc>
  <HLinks>
    <vt:vector size="6" baseType="variant">
      <vt:variant>
        <vt:i4>655454</vt:i4>
      </vt:variant>
      <vt:variant>
        <vt:i4>0</vt:i4>
      </vt:variant>
      <vt:variant>
        <vt:i4>0</vt:i4>
      </vt:variant>
      <vt:variant>
        <vt:i4>5</vt:i4>
      </vt:variant>
      <vt:variant>
        <vt:lpwstr>http://www.garant.ru/products/ipo/prime/doc/70989040/</vt:lpwstr>
      </vt:variant>
      <vt:variant>
        <vt:lpwstr>ixzz3ekAQyEHr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Департамента налоговой и таможенно-тарифной политики Минфина России от 25 мая 2015 г</dc:title>
  <dc:subject/>
  <dc:creator>Светлана</dc:creator>
  <cp:keywords/>
  <dc:description/>
  <cp:lastModifiedBy>СП</cp:lastModifiedBy>
  <cp:revision>3</cp:revision>
  <dcterms:created xsi:type="dcterms:W3CDTF">2015-07-06T12:49:00Z</dcterms:created>
  <dcterms:modified xsi:type="dcterms:W3CDTF">2015-07-07T09:54:00Z</dcterms:modified>
</cp:coreProperties>
</file>