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1C" w:rsidRPr="00A824B5" w:rsidRDefault="003A131C" w:rsidP="003A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3A131C" w:rsidRPr="00A824B5" w:rsidRDefault="003A131C" w:rsidP="003A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3A131C" w:rsidRPr="00A824B5" w:rsidRDefault="003A131C" w:rsidP="003A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ФЕДЕРАЛЬНАЯ НАЛОГОВАЯ СЛУЖБА</w:t>
      </w:r>
    </w:p>
    <w:p w:rsidR="003A131C" w:rsidRPr="00A824B5" w:rsidRDefault="003A131C" w:rsidP="003A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3A131C" w:rsidRDefault="003A131C" w:rsidP="003A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3A131C" w:rsidRPr="003A131C" w:rsidRDefault="003A131C" w:rsidP="003A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 w:eastAsia="ru-RU"/>
        </w:rPr>
      </w:pPr>
    </w:p>
    <w:p w:rsidR="003A131C" w:rsidRPr="007C54CE" w:rsidRDefault="003A131C" w:rsidP="003A1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7C54C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Pr="003A131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11</w:t>
      </w:r>
      <w:r w:rsidRPr="007C54C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  <w:r w:rsidRPr="003A131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03</w:t>
      </w:r>
      <w:r w:rsidRPr="007C54C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.201</w:t>
      </w:r>
      <w:r w:rsidRPr="003A131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5</w:t>
      </w:r>
      <w:r w:rsidRPr="007C54C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№ </w:t>
      </w:r>
      <w:r w:rsidRPr="003A131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ЕД-4-13/7083@</w:t>
      </w:r>
    </w:p>
    <w:p w:rsidR="003A131C" w:rsidRDefault="003A131C" w:rsidP="003A1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1C" w:rsidRPr="003A131C" w:rsidRDefault="003A131C" w:rsidP="003A1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0"/>
          <w:lang w:eastAsia="ru-RU"/>
        </w:rPr>
      </w:pPr>
      <w:r w:rsidRPr="003A131C">
        <w:rPr>
          <w:rFonts w:ascii="Times New Roman" w:eastAsia="Calibri" w:hAnsi="Times New Roman" w:cs="Times New Roman"/>
          <w:b/>
          <w:bCs/>
          <w:szCs w:val="20"/>
          <w:lang w:eastAsia="ru-RU"/>
        </w:rPr>
        <w:t>О ПРЕДСТАВЛЕНИИ УВЕДОМЛЕНИЯ О КОНТРОЛИРУЕМЫХ СДЕЛКАХ, СОВЕРШЕННЫХ В 2014 ГОДУ</w:t>
      </w:r>
    </w:p>
    <w:p w:rsidR="003A131C" w:rsidRPr="003A131C" w:rsidRDefault="003A131C"/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в целях обеспечения выполнения налогоплательщиками обязанности, установленной пунктом 2 статьи 105.16 Налогового кодекса Российской Федерации (далее – Кодекс), сообщает следующее.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 сроках представления уведомления о контролируемых сделках и переходных положениях.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контролируемых сделках (далее также Уведомление), совершенных в 2014 году, направляется налогоплательщиком в налоговый орган в срок не позднее 20 мая 2015 года.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окончанием переходного периода, предусмотренного пунктом 7 статьи 4 Федерального закона от 18.07.2011 № 227-ФЗ, с 1 января 2014 года положения статьи 105.16 Кодекса применяются без ограничений по суммам доходов по всем контролируемым сделкам, совершенным налогоплательщиком в 2014 году.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 предоставлении уточненного Уведомления и освобождении от ответственности, предусмотренной статьей </w:t>
      </w:r>
      <w:bookmarkStart w:id="0" w:name="_GoBack"/>
      <w:bookmarkEnd w:id="0"/>
      <w:r w:rsidRPr="003A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129.4 Кодекса.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обнаружения неполноты сведений, неточностей либо ошибок в заполнении представленного Уведомления налогоплательщик вправе направить уточненное Уведомление.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непредставление в установленный срок налогоплательщиком в налоговый орган уведомления о контролируемых сделках, совершенных в календарном году, или представление налогоплательщиком в налоговый орган уведомления о контролируемых сделках, содержащего недостоверные сведения, влечет взыскание штрафа в размере 5 000 рублей на основании статьи 129.4 Кодекса.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уточненного уведомления до момента, когда налогоплательщик узнал об установлении налоговым органом факта отражения в уведомлении недостоверных сведений о контролируемых сделках, налогоплательщик освобождается от ответственности, предусмотренной статьей 129.4 Кодекса (поправка введена Федеральным законом от 02.04.2014 N 52-ФЗ).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 представлении Уведомления каждой стороной контролируемой сделки.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13 статьи 105.3 Кодекса правила, предусмотренные разделом V.1 Кодекса, распространяются на сделки, осуществление которых влечет необходимость учета хотя бы одной стороной таких сделок доходов, расходов и (или) стоимости добытых </w:t>
      </w: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полезных ископаемых, что приводит к увеличению и (или) уменьшению налоговой базы по налогам, предусмотренным пунктом 4 статьи 105.3 Кодекса.</w:t>
      </w:r>
      <w:proofErr w:type="gramEnd"/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статьи 105.16 Кодекса установлено, что налогоплательщики обязаны уведомлять налоговые органы о совершенных ими в календарном году контролируемых сделках, указанных в статье 105.14 Кодекса.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абзаца 1 статьи 19 Кодекса налогоплательщиками и плательщиками сборов признаются организации и физические лица, на которых в соответствии с Кодексом возложена обязанность </w:t>
      </w: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</w:t>
      </w:r>
      <w:proofErr w:type="gram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налоги и (или) сборы.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налогоплательщик обязан уведомлять налоговые органы о совершенных им в календарном году контролируемых сделках независимо от того, является ли налогоплательщик по таким сделкам стороной, получившей доходы и (или) осуществившей расходы, что привело к увеличению и (или) уменьшению налоговой базы по налогам, предусмотренным пунктом 4 статьи 105.3 Кодекса.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 указании кодов ОКАТО (ОКТМО), ОКП и ОКВЭД в Уведомлении.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переходом с 01.01.2014 на использование в бюджетном процессе кодов Общероссийского классификатора территорий муниципальных образований </w:t>
      </w: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033-2013 (ОКТМО) вместо применяемых ранее кодов административно-территориального образования в соответствии с Общероссийским классификатором объектов административно-территориального деления ОК 019-95 (ОКАТО), налогоплательщикам при заполнении Уведомления в показателе «Код ОКАТО» следует указывать код ОКТМО (см. также пункт 6 письма ФНС России от 18.04.2014 № ОА-4-13/7549@).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заполнении Уведомления в пункте «Код предмета сделки (код по ОКП)» следует указывать код вида товара в соответствии с Общероссийским классификатором продукции «</w:t>
      </w: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005-93. Общероссийский классификатор продукции», утвержденным постановлением Госстандарта России от 30.12.1993 № 301;  в пункте  «Код вида экономической деятельности по классификатору ОКВЭД»  – код вида деятельности по ОКВЭД ОК 029-2001 (КДЕС</w:t>
      </w: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1), принятому и введенному в действие постановлением Госстандарта России от 06.11.2001 № 454-ст.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порядок действует до внесения соответствующих изменений в приказ ФНС России от 27.07.2012 № ММВ-7-13/524@ (см. также письмо ФНС России от 08.10.2014 № ЕД-4-13/20615@).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 особенностях формирования многотомных Уведомлений о контролируемых сделках.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налогоплательщиков Уведомления могут представляться в налоговый орган по установленной форме на бумажном носителе или по установленным форматам в электронной форме. 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(формат) уведомления о контролируемых сделках, а также порядок заполнения формы и порядок представления уведомления о контролируемых сделках в электронной форме утверждены приказом ФНС России от 27.07.2012 № ММВ-7-13/524@.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объем сформированного файла, содержащего Уведомление, не отвечает требованиям пункта 3.1.3 приказа ФНС России от 09.11.2010 № ММВ-7-6/535@ (в редакции приказов </w:t>
      </w: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ФНС России от 31.03.2015 № ММВ-7-6/131@, от 17.11.2014 № ММВ-7-6/588@), то есть объем файла, содержащего Уведомление, превышает 1024 мегабайт, либо </w:t>
      </w:r>
      <w:proofErr w:type="spell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-архив указанного файла превышает 60 мегабайт, то налогоплательщику необходимо разделить указанный файл на несколько файлов меньшего объема.</w:t>
      </w:r>
      <w:proofErr w:type="gram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Федеральная налоговая служба рекомендует воспользоваться бесплатным программным обеспечением, разработанным ФГУП ГНИВЦ ФНС России, обеспечивающим деление файла утвержденного формата, содержащего Уведомление большого объема, на несколько файлов меньшего объема (томов).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Разработанное программное обеспечение реализовано в рамках ПК «</w:t>
      </w:r>
      <w:proofErr w:type="spell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Tester</w:t>
      </w:r>
      <w:proofErr w:type="spell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(рекомендуемая версия 2.72 и выше).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 разработчикам программного обеспечения необходимо принимать во внимание следующие принципы деления файла утвержденного формата, содержащего Уведомление большого объема, на несколько томов, реализованные в вышеуказанном бесплатном программном обеспечении: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титульный лист, имеющийся в уведомлении большого объема, должен повторяться в каждом томе;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Раздела 1А и связанных с ним Разделов 1Б, 2 и 3 не могут содержаться в различных томах.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ФНС России сообщает, что в ПК «Тестер» и ПК «Налогоплательщик ЮЛ» (рекомендуемая версия 4.41.1 и выше) помимо проверки соответствия файла Уведомления требованиям к формату файла (соответствия XSD-схеме), реализованы дополнительные логические проверки заполнения отдельных полей разделов 1А, 1Б, 2 и 3 Уведомления. В </w:t>
      </w: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Порядка заполнения уведомления о контролируемых сделках (приложение № 3 к приказу ФНС России от 27.07.2012 № ММВ-7-13/524@), рекомендуется использовать указанное программное обеспечение для проверки сформированных файлов с Уведомлениями.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технической поддержки программ «Налогоплательщик-ЮЛ» и «</w:t>
      </w:r>
      <w:proofErr w:type="spell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Tester</w:t>
      </w:r>
      <w:proofErr w:type="spell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»  на сайте ФГУП ГНИВЦ ФНС России создан сервис «Обратная связь».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ПК «Тестер» и ПК «Налогоплательщик ЮЛ» размещено на сайте ФГУП ГНИВЦ ФНС России в разделе «Бесплатное программное обеспечение» подраздел «Программные средства для юридических и физических лиц».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представления файлов с Уведомлением налогоплательщикам рекомендуется обращаться за разъяснениями на «горячую линию» ФГУП ГНИВЦ ФНС России. Е-</w:t>
      </w:r>
      <w:proofErr w:type="spell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«горячей линии» info@mail.rvcgnivc.ru указан в программах «Налогоплательщик-ЮЛ» (в пункте меню «Помощь</w:t>
      </w: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  <w:proofErr w:type="gram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программе») и «</w:t>
      </w:r>
      <w:proofErr w:type="spell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Tester</w:t>
      </w:r>
      <w:proofErr w:type="spell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пункте меню «Справка/О программе»).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доведения до всех участников электронного документооборота в Справочнике периодов применения форматов отражены сведения об обновленных файлах, содержащих XSD-схему файла обмена в электронной форме для Уведомления (КНД 1110025).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Файлы, содержащие XSD-схему файла обмена в электронной форме, также размещены в архиве Приложения № 1 к приказу ФНС России от 27.07.2012 № ММВ-7-13/524@, </w:t>
      </w: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опубликованном  в разделе «Трансфертное ценообразование» рубрика «Документирование контролируемых сделок».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обращениях налогоплательщиков, а также самостоятельно выявленных фактах ненадлежащей работы программного обеспечения по приему и передаче Уведомлений по телекоммуникационным каналам связи, территориальным налоговым органам следует незамедлительно информировать ФГУП ГНИВЦ ФНС России (в копии - в Управление трансфертного ценообразования).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довести до сведения подведомственных налоговых органов и налогоплательщиков.</w:t>
      </w:r>
    </w:p>
    <w:p w:rsidR="003A131C" w:rsidRPr="003A131C" w:rsidRDefault="003A131C" w:rsidP="003A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31C" w:rsidRPr="003A131C" w:rsidRDefault="003A131C" w:rsidP="003A13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1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Действительный государственный советник</w:t>
      </w:r>
      <w:r w:rsidRPr="003A1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Российской Федерации 2 класса</w:t>
      </w:r>
      <w:r w:rsidRPr="003A1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Д.В. Егоров</w:t>
      </w:r>
    </w:p>
    <w:p w:rsidR="001B7A75" w:rsidRDefault="001B7A75"/>
    <w:sectPr w:rsidR="001B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1C"/>
    <w:rsid w:val="001B7A75"/>
    <w:rsid w:val="003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131C"/>
    <w:rPr>
      <w:color w:val="0000FF"/>
      <w:u w:val="single"/>
    </w:rPr>
  </w:style>
  <w:style w:type="character" w:styleId="a4">
    <w:name w:val="Strong"/>
    <w:basedOn w:val="a0"/>
    <w:uiPriority w:val="22"/>
    <w:qFormat/>
    <w:rsid w:val="003A131C"/>
    <w:rPr>
      <w:b/>
      <w:bCs/>
    </w:rPr>
  </w:style>
  <w:style w:type="paragraph" w:customStyle="1" w:styleId="gray">
    <w:name w:val="gray"/>
    <w:basedOn w:val="a"/>
    <w:rsid w:val="003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">
    <w:name w:val="bigger"/>
    <w:basedOn w:val="a"/>
    <w:rsid w:val="003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A13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131C"/>
    <w:rPr>
      <w:color w:val="0000FF"/>
      <w:u w:val="single"/>
    </w:rPr>
  </w:style>
  <w:style w:type="character" w:styleId="a4">
    <w:name w:val="Strong"/>
    <w:basedOn w:val="a0"/>
    <w:uiPriority w:val="22"/>
    <w:qFormat/>
    <w:rsid w:val="003A131C"/>
    <w:rPr>
      <w:b/>
      <w:bCs/>
    </w:rPr>
  </w:style>
  <w:style w:type="paragraph" w:customStyle="1" w:styleId="gray">
    <w:name w:val="gray"/>
    <w:basedOn w:val="a"/>
    <w:rsid w:val="003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">
    <w:name w:val="bigger"/>
    <w:basedOn w:val="a"/>
    <w:rsid w:val="003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A1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</cp:revision>
  <dcterms:created xsi:type="dcterms:W3CDTF">2015-04-27T10:08:00Z</dcterms:created>
  <dcterms:modified xsi:type="dcterms:W3CDTF">2015-04-27T10:13:00Z</dcterms:modified>
</cp:coreProperties>
</file>