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76" w:rsidRPr="0031029D" w:rsidRDefault="00BE7376" w:rsidP="0031029D">
      <w:pPr>
        <w:pStyle w:val="a3"/>
        <w:jc w:val="both"/>
        <w:rPr>
          <w:rFonts w:asciiTheme="minorHAnsi" w:hAnsiTheme="minorHAnsi" w:cstheme="minorHAnsi"/>
          <w:b/>
        </w:rPr>
      </w:pPr>
      <w:r w:rsidRPr="0031029D">
        <w:rPr>
          <w:rFonts w:asciiTheme="minorHAnsi" w:hAnsiTheme="minorHAnsi" w:cstheme="minorHAnsi"/>
          <w:b/>
        </w:rPr>
        <w:t xml:space="preserve">НАЛОГОВЫЙ КОДЕКС </w:t>
      </w:r>
      <w:r w:rsidR="00010B72" w:rsidRPr="0031029D">
        <w:rPr>
          <w:rFonts w:asciiTheme="minorHAnsi" w:hAnsiTheme="minorHAnsi" w:cstheme="minorHAnsi"/>
          <w:b/>
        </w:rPr>
        <w:t>РФ</w:t>
      </w:r>
    </w:p>
    <w:p w:rsidR="00010B72" w:rsidRPr="0031029D" w:rsidRDefault="00010B72" w:rsidP="0031029D">
      <w:pPr>
        <w:jc w:val="both"/>
        <w:rPr>
          <w:rFonts w:cstheme="minorHAnsi"/>
          <w:b/>
          <w:sz w:val="24"/>
          <w:szCs w:val="24"/>
        </w:rPr>
      </w:pPr>
      <w:r w:rsidRPr="0031029D">
        <w:rPr>
          <w:rFonts w:cstheme="minorHAnsi"/>
          <w:b/>
          <w:sz w:val="24"/>
          <w:szCs w:val="24"/>
        </w:rPr>
        <w:t xml:space="preserve">Глава 14.2. Статья 105.5 «Сопоставимость коммерческих и (или) финансовых условий сделок и функциональный анализ», п. </w:t>
      </w:r>
      <w:r w:rsidR="0031029D">
        <w:rPr>
          <w:rFonts w:cstheme="minorHAnsi"/>
          <w:b/>
          <w:sz w:val="24"/>
          <w:szCs w:val="24"/>
        </w:rPr>
        <w:t>7</w:t>
      </w:r>
      <w:r w:rsidR="00BE7376" w:rsidRPr="0031029D">
        <w:rPr>
          <w:rFonts w:cstheme="minorHAnsi"/>
          <w:b/>
          <w:sz w:val="24"/>
          <w:szCs w:val="24"/>
        </w:rPr>
        <w:t xml:space="preserve">. 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При определении сопоставимости коммерческих и (или) финансовых условий сопоставляемых сделок с условиями анализируемой сделки также учитываются следующие риски, принимаемые каждой из сторон сделки при осуществлении своей деятельности и оказывающие влияние на условия сделки: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1) производственные риски, включая риск неполной загрузки производственных мощностей;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2) риск изменения рыночных цен на приобретаемые материалы и выпускаемую продукцию вследствие изменения экономической конъюнктуры, риск изменения прочих рыночных условий;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3) риск обесценения запасов, потерь товарами качества и иных потребительских свойств;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4) риски, связанные с утратой имущества, имущественных прав;</w:t>
      </w:r>
      <w:bookmarkStart w:id="0" w:name="_GoBack"/>
      <w:bookmarkEnd w:id="0"/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5) риски изменения курса иностранной валюты по отношению к рублю или другой валюте, процентных ставок, кредитные риски;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6) риск, связанный с безрезультатностью осуществления научно-исследовательских и опытно-конструкторских работ;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7) инвестиционные риски, связанные с возможными финансовыми потерями вследствие ошибок, допущенных при осуществлении инвестиций, включая выбор объектов для инвестиций;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8) риск нанесения ущерба окружающей среде;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>9) предпринимательские (коммерческие) риски, связанные с осуществлением стратегического управления, включая ценовую политику и стратегию реализации товаров (работ, услуг);</w:t>
      </w:r>
    </w:p>
    <w:p w:rsidR="0031029D" w:rsidRPr="0031029D" w:rsidRDefault="0031029D" w:rsidP="0031029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29D">
        <w:rPr>
          <w:rFonts w:eastAsia="Times New Roman" w:cstheme="minorHAnsi"/>
          <w:sz w:val="24"/>
          <w:szCs w:val="24"/>
          <w:lang w:eastAsia="ru-RU"/>
        </w:rPr>
        <w:t xml:space="preserve">10) риск </w:t>
      </w:r>
      <w:proofErr w:type="spellStart"/>
      <w:r w:rsidRPr="0031029D">
        <w:rPr>
          <w:rFonts w:eastAsia="Times New Roman" w:cstheme="minorHAnsi"/>
          <w:sz w:val="24"/>
          <w:szCs w:val="24"/>
          <w:lang w:eastAsia="ru-RU"/>
        </w:rPr>
        <w:t>невостребованности</w:t>
      </w:r>
      <w:proofErr w:type="spellEnd"/>
      <w:r w:rsidRPr="0031029D">
        <w:rPr>
          <w:rFonts w:eastAsia="Times New Roman" w:cstheme="minorHAnsi"/>
          <w:sz w:val="24"/>
          <w:szCs w:val="24"/>
          <w:lang w:eastAsia="ru-RU"/>
        </w:rPr>
        <w:t xml:space="preserve"> товара (риск по запасам, складской риск).</w:t>
      </w:r>
    </w:p>
    <w:p w:rsidR="003143D8" w:rsidRPr="0031029D" w:rsidRDefault="003143D8" w:rsidP="0031029D">
      <w:pPr>
        <w:pStyle w:val="a3"/>
        <w:jc w:val="both"/>
        <w:rPr>
          <w:rFonts w:asciiTheme="minorHAnsi" w:hAnsiTheme="minorHAnsi" w:cstheme="minorHAnsi"/>
        </w:rPr>
      </w:pPr>
    </w:p>
    <w:sectPr w:rsidR="003143D8" w:rsidRPr="0031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7"/>
    <w:rsid w:val="00010B72"/>
    <w:rsid w:val="00212037"/>
    <w:rsid w:val="0031029D"/>
    <w:rsid w:val="003143D8"/>
    <w:rsid w:val="004747D3"/>
    <w:rsid w:val="00B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B72"/>
    <w:rPr>
      <w:color w:val="0000FF"/>
      <w:u w:val="single"/>
    </w:rPr>
  </w:style>
  <w:style w:type="paragraph" w:customStyle="1" w:styleId="s1">
    <w:name w:val="s_1"/>
    <w:basedOn w:val="a"/>
    <w:rsid w:val="0031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B72"/>
    <w:rPr>
      <w:color w:val="0000FF"/>
      <w:u w:val="single"/>
    </w:rPr>
  </w:style>
  <w:style w:type="paragraph" w:customStyle="1" w:styleId="s1">
    <w:name w:val="s_1"/>
    <w:basedOn w:val="a"/>
    <w:rsid w:val="0031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Проклова</dc:creator>
  <cp:keywords/>
  <dc:description/>
  <cp:lastModifiedBy>Светлана Проклова</cp:lastModifiedBy>
  <cp:revision>3</cp:revision>
  <dcterms:created xsi:type="dcterms:W3CDTF">2014-03-27T10:45:00Z</dcterms:created>
  <dcterms:modified xsi:type="dcterms:W3CDTF">2014-03-27T10:46:00Z</dcterms:modified>
</cp:coreProperties>
</file>