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E2" w:rsidRPr="00A824B5"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МИНИСТЕРСТВО ФИНАНСОВ РОССИЙСКОЙ ФЕДЕРАЦИИ</w:t>
      </w:r>
    </w:p>
    <w:p w:rsidR="00E170E2" w:rsidRPr="00A824B5"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E170E2" w:rsidRPr="00A824B5"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ФЕДЕРАЛЬНАЯ НАЛОГОВАЯ СЛУЖБА</w:t>
      </w:r>
    </w:p>
    <w:p w:rsidR="00E170E2" w:rsidRPr="00A824B5"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E170E2" w:rsidRPr="00190EF4"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ПИСЬМО</w:t>
      </w:r>
    </w:p>
    <w:p w:rsidR="00E170E2"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p>
    <w:p w:rsidR="00E170E2" w:rsidRDefault="00E170E2" w:rsidP="00E170E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190EF4">
        <w:rPr>
          <w:rFonts w:ascii="Times New Roman" w:eastAsia="Calibri" w:hAnsi="Times New Roman" w:cs="Times New Roman"/>
          <w:b/>
          <w:bCs/>
          <w:sz w:val="20"/>
          <w:szCs w:val="20"/>
          <w:lang w:eastAsia="ru-RU"/>
        </w:rPr>
        <w:t xml:space="preserve">от </w:t>
      </w:r>
      <w:r>
        <w:rPr>
          <w:rFonts w:ascii="Times New Roman" w:eastAsia="Calibri" w:hAnsi="Times New Roman" w:cs="Times New Roman"/>
          <w:b/>
          <w:bCs/>
          <w:sz w:val="20"/>
          <w:szCs w:val="20"/>
          <w:lang w:eastAsia="ru-RU"/>
        </w:rPr>
        <w:t>17</w:t>
      </w:r>
      <w:r w:rsidRPr="006069A3">
        <w:rPr>
          <w:rFonts w:ascii="Times New Roman" w:eastAsia="Calibri" w:hAnsi="Times New Roman" w:cs="Times New Roman"/>
          <w:b/>
          <w:bCs/>
          <w:sz w:val="20"/>
          <w:szCs w:val="20"/>
          <w:lang w:eastAsia="ru-RU"/>
        </w:rPr>
        <w:t>.</w:t>
      </w:r>
      <w:r>
        <w:rPr>
          <w:rFonts w:ascii="Times New Roman" w:eastAsia="Calibri" w:hAnsi="Times New Roman" w:cs="Times New Roman"/>
          <w:b/>
          <w:bCs/>
          <w:sz w:val="20"/>
          <w:szCs w:val="20"/>
          <w:lang w:eastAsia="ru-RU"/>
        </w:rPr>
        <w:t>08</w:t>
      </w:r>
      <w:r w:rsidRPr="006069A3">
        <w:rPr>
          <w:rFonts w:ascii="Times New Roman" w:eastAsia="Calibri" w:hAnsi="Times New Roman" w:cs="Times New Roman"/>
          <w:b/>
          <w:bCs/>
          <w:sz w:val="20"/>
          <w:szCs w:val="20"/>
          <w:lang w:eastAsia="ru-RU"/>
        </w:rPr>
        <w:t>.201</w:t>
      </w:r>
      <w:r>
        <w:rPr>
          <w:rFonts w:ascii="Times New Roman" w:eastAsia="Calibri" w:hAnsi="Times New Roman" w:cs="Times New Roman"/>
          <w:b/>
          <w:bCs/>
          <w:sz w:val="20"/>
          <w:szCs w:val="20"/>
          <w:lang w:eastAsia="ru-RU"/>
        </w:rPr>
        <w:t>7</w:t>
      </w:r>
      <w:r w:rsidRPr="006069A3">
        <w:rPr>
          <w:rFonts w:ascii="Times New Roman" w:eastAsia="Calibri" w:hAnsi="Times New Roman" w:cs="Times New Roman"/>
          <w:b/>
          <w:bCs/>
          <w:sz w:val="20"/>
          <w:szCs w:val="20"/>
          <w:lang w:eastAsia="ru-RU"/>
        </w:rPr>
        <w:t xml:space="preserve"> </w:t>
      </w:r>
      <w:r w:rsidRPr="00A824B5">
        <w:rPr>
          <w:rFonts w:ascii="Times New Roman" w:eastAsia="Calibri" w:hAnsi="Times New Roman" w:cs="Times New Roman"/>
          <w:b/>
          <w:bCs/>
          <w:sz w:val="20"/>
          <w:szCs w:val="20"/>
          <w:lang w:eastAsia="ru-RU"/>
        </w:rPr>
        <w:t>N</w:t>
      </w:r>
      <w:r w:rsidRPr="006069A3">
        <w:rPr>
          <w:rFonts w:ascii="Times New Roman" w:eastAsia="Calibri" w:hAnsi="Times New Roman" w:cs="Times New Roman"/>
          <w:b/>
          <w:bCs/>
          <w:sz w:val="20"/>
          <w:szCs w:val="20"/>
          <w:lang w:eastAsia="ru-RU"/>
        </w:rPr>
        <w:t xml:space="preserve"> </w:t>
      </w:r>
      <w:r w:rsidRPr="00E170E2">
        <w:rPr>
          <w:rFonts w:ascii="Times New Roman" w:eastAsia="Calibri" w:hAnsi="Times New Roman" w:cs="Times New Roman"/>
          <w:b/>
          <w:bCs/>
          <w:sz w:val="20"/>
          <w:szCs w:val="20"/>
          <w:lang w:eastAsia="ru-RU"/>
        </w:rPr>
        <w:t>ЗН-4-17/16223@</w:t>
      </w:r>
    </w:p>
    <w:p w:rsidR="00E170E2" w:rsidRDefault="00E170E2" w:rsidP="00E170E2">
      <w:pPr>
        <w:spacing w:after="0" w:line="240" w:lineRule="auto"/>
        <w:rPr>
          <w:rFonts w:ascii="Times New Roman" w:eastAsia="Times New Roman" w:hAnsi="Times New Roman" w:cs="Times New Roman"/>
          <w:sz w:val="24"/>
          <w:szCs w:val="24"/>
          <w:lang w:eastAsia="ru-RU"/>
        </w:rPr>
      </w:pPr>
    </w:p>
    <w:p w:rsidR="00E170E2" w:rsidRDefault="00E170E2" w:rsidP="00E170E2">
      <w:pPr>
        <w:spacing w:after="0" w:line="240" w:lineRule="auto"/>
        <w:rPr>
          <w:rFonts w:ascii="Times New Roman" w:eastAsia="Times New Roman" w:hAnsi="Times New Roman" w:cs="Times New Roman"/>
          <w:sz w:val="24"/>
          <w:szCs w:val="24"/>
          <w:lang w:eastAsia="ru-RU"/>
        </w:rPr>
      </w:pPr>
    </w:p>
    <w:p w:rsidR="00DA291E" w:rsidRPr="00E170E2" w:rsidRDefault="00DA291E" w:rsidP="00E170E2">
      <w:pPr>
        <w:spacing w:after="0" w:line="240" w:lineRule="auto"/>
        <w:jc w:val="center"/>
        <w:rPr>
          <w:rFonts w:ascii="Times New Roman" w:eastAsia="Calibri" w:hAnsi="Times New Roman" w:cs="Times New Roman"/>
          <w:b/>
          <w:bCs/>
          <w:sz w:val="24"/>
          <w:szCs w:val="20"/>
          <w:lang w:eastAsia="ru-RU"/>
        </w:rPr>
      </w:pPr>
      <w:r w:rsidRPr="00E170E2">
        <w:rPr>
          <w:rFonts w:ascii="Times New Roman" w:eastAsia="Calibri" w:hAnsi="Times New Roman" w:cs="Times New Roman"/>
          <w:b/>
          <w:bCs/>
          <w:sz w:val="24"/>
          <w:szCs w:val="20"/>
          <w:lang w:eastAsia="ru-RU"/>
        </w:rPr>
        <w:t>О признании сделки между взаимозависимыми лицами контролируемой, если одна из сторон не является резидентом РФ, и об учете пожертвований в целях налога на прибыль</w:t>
      </w:r>
    </w:p>
    <w:p w:rsidR="00DA291E" w:rsidRDefault="00DA291E" w:rsidP="00DA291E"/>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Федеральная налоговая служба, рассмотрев в пределах своей компетенции обращение, сообщает следующее.</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Согласно пункту 12.4 Типового регламента внутренней организации федеральных органов исполнительной власти, утвержденного постановлением Правительства Российской Федерации от 28.07.2005 N 452, разъяснение законодательства Российской Федерации, практики его применения, а также толкование норм, терминов и понятий осуществляются федеральными органами исполнительной власти по обращениям граждан в случаях, если на них возложена соответствующая обязанность или если это необходимо для обоснования решения, принятого по обращению</w:t>
      </w:r>
      <w:proofErr w:type="gramEnd"/>
      <w:r w:rsidRPr="00E170E2">
        <w:rPr>
          <w:rFonts w:ascii="Times New Roman" w:eastAsia="Times New Roman" w:hAnsi="Times New Roman" w:cs="Times New Roman"/>
          <w:sz w:val="24"/>
          <w:szCs w:val="24"/>
          <w:lang w:eastAsia="ru-RU"/>
        </w:rPr>
        <w:t xml:space="preserve"> гражданина.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Положением о Федеральной налоговой службе, утвержденным постановлением Правительства Российской Федерации от 30.09.2004 N 506, не предусмотрено рассмотрение обращений юридических и физических лиц, направленных на оценку соответствия требованиям законодательства Российской Федерации различных ситуаций, связанных с планируемыми валютными операциями, а также связанных с толкованием действующего налогового и валютного законодательства Российской Федерации.</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Учитывая изложенное, проведение экспертизы внешнеэкономических договоров, иных первичных документов лиц и проведенных валютных операций на соответствие налоговому и валютному законодательству осуществляется лишь при проведении контрольных мероприятий и привлечении виновных лиц к административной ответственности.</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Вместе с тем считаем возможным сообщить следующее.</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При осуществлении организацией - резидентом Российской Федерации операций по переводу средств на счет организации - нерезидента Российской Федерации в ситуации, описанной в обращении, следует учитывать следующие положения раздела V.1 Налогового кодекса Российской Федерации (далее - Кодекс).</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Согласно пункту 1 статьи 105.1 Кодекса в случае,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лица признаются взаимозависимыми для целей налогообложения (далее - взаимозависимые лица).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со статьей 105.1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lastRenderedPageBreak/>
        <w:t>Основания признания лиц взаимозависимыми установлены в пункте 2 статьи 105.1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В то же время согласно пункту 6 статьи 105.1 Кодекса стороны сделки имеют право для целей налогообложения самостоятельно признавать себя взаимозависимыми лицами по основаниям, не предусмотренным пунктом 2 статьи 105.1 Кодекса, при наличии указанных в пункте 1 статьи 105.1 Кодекса особенностей отношений участвующих в сделках лиц, позволяющих оказывать влияние на условия и (или) результаты сделок, совершаемых этими лицами, и (или</w:t>
      </w:r>
      <w:proofErr w:type="gramEnd"/>
      <w:r w:rsidRPr="00E170E2">
        <w:rPr>
          <w:rFonts w:ascii="Times New Roman" w:eastAsia="Times New Roman" w:hAnsi="Times New Roman" w:cs="Times New Roman"/>
          <w:sz w:val="24"/>
          <w:szCs w:val="24"/>
          <w:lang w:eastAsia="ru-RU"/>
        </w:rPr>
        <w:t>) экономические результаты деятельности этих лиц или деятельности представляемых ими лиц, а также с учетом влияния,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Также в соответствии с положениями пункта 7 статьи 105.1 Кодекса суд может признать лица взаимозависимыми по иным основаниям, не предусмотренным пунктом 2 статьи 105.1 Кодекса, если отношения между этими лицами обладают признаками, указанными в пункте 1 статьи 105.1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Согласно пункту 1 статьи 105.14 Кодекса контролируемыми сделками признаются сделки между взаимозависимыми лицами (с учетом особенностей, предусмотренных указанной статьей).</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При этом положениями статьи 105.14 Кодекса особенности в виде требований к размеру суммы доходов по сделкам между взаимозависимыми лицами, одна из сторон которых не является резидентом Российской Федерации, в целях признания сделок контролируемыми не предусмотрены.</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Таким образом, сделки между взаимозависимыми лицами, в которых одна из сторон не является налоговым резидентом Российской Федерации, признаются контролируемыми вне зависимости от размера суммы доходов, полученных по таким сделкам.</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Положениями пункта 1 статьи 105.16 Кодекса предусмотрена обязанность налогоплательщиков представлять уведомление о совершенных ими в календарном году контролируемых сделках. Форма уведомления о контролируемых сделках утверждена приказом ФНС России от 27.07.2012 N ММВ-7-13/524@ "Об утверждении формы уведомления о контролируемых сделках, порядка ее заполнения, а также формата представления уведомления о контролируемых сделках в электронной форме и порядка представления налогоплательщиком уведомления о контролируемых сделках в электронной форме".</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Также на основании положений раздела V.1 Кодекса налоговый орган вправе проводить проверки цен контролируемых сделок на предмет их соответствия рыночным ценам.</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В то же время согласно пункту 11 статьи 105.14 Кодекса признание сделок контролируемыми производится с учетом положений пункта 13 статьи 105.3 Кодекса, предусматривающего распространение правил раздела V.1 Кодекса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w:t>
      </w:r>
      <w:proofErr w:type="gramEnd"/>
      <w:r w:rsidRPr="00E170E2">
        <w:rPr>
          <w:rFonts w:ascii="Times New Roman" w:eastAsia="Times New Roman" w:hAnsi="Times New Roman" w:cs="Times New Roman"/>
          <w:sz w:val="24"/>
          <w:szCs w:val="24"/>
          <w:lang w:eastAsia="ru-RU"/>
        </w:rPr>
        <w:t xml:space="preserve"> налогам, предусмотренным пунктом 4 статьи 105.3 Кодекса, а именно:</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 налога на прибыль организаций;</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 налога на доходы физических лиц (уплачиваемого в соответствии со статьей 227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lastRenderedPageBreak/>
        <w:t>- налога на добычу полезных ископаемых и налога на добавленную стоимость (с учетом обстоятельств, предусмотренных подпунктами 3 и 4 пункта 4 статьи 105.3 Кодекса соответственно).</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Исходя из изложенного, по мнению ФНС России, правила раздела V.1 Кодекса при осуществлении операций, указанных в обращении, будут применимы в случае, если лица являются взаимозависимыми и заключают между собой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w:t>
      </w:r>
      <w:proofErr w:type="gramEnd"/>
      <w:r w:rsidRPr="00E170E2">
        <w:rPr>
          <w:rFonts w:ascii="Times New Roman" w:eastAsia="Times New Roman" w:hAnsi="Times New Roman" w:cs="Times New Roman"/>
          <w:sz w:val="24"/>
          <w:szCs w:val="24"/>
          <w:lang w:eastAsia="ru-RU"/>
        </w:rPr>
        <w:t xml:space="preserve"> налогам, предусмотренным пунктом 4 статьи 105.3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В части исчисления налога на прибыль организаций сообщаем следующее.</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Согласно положениям статей 247 и 248 Кодекса при определении налоговой базы по налогу на прибыль организаций налогоплательщики учитывают доходы от реализации товаров (работ, услуг) и имущественных прав и внереализационные доходы, определяемые в соответствии со статьями 249 и 250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Пунктом 8 статьи 250 Кодекса определено, что к внереализационным доходам налогоплательщика относятся доходы в виде безвозмездно полученного имущества (работ, услуг) или имущественных прав, за исключением случаев, указанных в статье 251 Кодекса.</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В частности, пунктом 2 статьи 251 Кодекса предусмотрено право налогоплательщиков - некоммерческих организаций не учитывать при налогообложении прибыли целевые поступления на свое содержание и ведение уставной деятельности в виде пожертвований, признаваемых таковыми в соответствии с гражданским законодательством Российской Федерации.</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В соответствии со статьей 582 Гражданского кодекса Российской Федерации пожертвованием признается дарение вещи или права в общеполезных целях. Пожертвования могут делаться, в частности,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Пожертвование имущества юридическим лицам может быть обусловлено жертвователем использованием этого имущества по определенному назначению.</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Таким образом, некоммерческая организация имеет право не учитывать при налогообложении прибыли собранные денежные средства при условии, что данные средства получены безвозмездно и в дальнейшем использованы на общеполезные цели, совпадающие с уставными целями некоммерческой организации.</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Кроме того, указанные в обращении действия по переводу денежных средств в адрес нерезидентов регулируются Федеральным законом от 10.12.2003 N 173-ФЗ "О валютном регулировании и валютном контроле" (далее - Закон N 173-ФЗ).</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В соответствии со статьей 6 Закона N 173-ФЗ валютные операции между резидентами и нерезидентами осуществляются без ограничений, за исключением валютных операций, предусмотренных статьей 11 Закона N 173-ФЗ.</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Права и обязанности резидентов при осуществлении валютных операций закреплены в статье 14 Закона N 173-ФЗ.</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 xml:space="preserve">Также обращаем внимание, что при осуществлении внешнеторговой деятельности резиденты обязаны соблюдать требования о репатриации иностранной валюты и валюты </w:t>
      </w:r>
      <w:r w:rsidRPr="00E170E2">
        <w:rPr>
          <w:rFonts w:ascii="Times New Roman" w:eastAsia="Times New Roman" w:hAnsi="Times New Roman" w:cs="Times New Roman"/>
          <w:sz w:val="24"/>
          <w:szCs w:val="24"/>
          <w:lang w:eastAsia="ru-RU"/>
        </w:rPr>
        <w:lastRenderedPageBreak/>
        <w:t>Российской Федерации, предусмотренные статьей 19 Закона N 173-ФЗ, а также положения Инструкции Банка России от 04.06.2012 N 138-И "О порядке представления резидентами и нерезидентами уполномоченным банкам документов и информации, связанных с проведением валютных операций, порядке оформления паспортов сделок, а также порядке учета</w:t>
      </w:r>
      <w:proofErr w:type="gramEnd"/>
      <w:r w:rsidRPr="00E170E2">
        <w:rPr>
          <w:rFonts w:ascii="Times New Roman" w:eastAsia="Times New Roman" w:hAnsi="Times New Roman" w:cs="Times New Roman"/>
          <w:sz w:val="24"/>
          <w:szCs w:val="24"/>
          <w:lang w:eastAsia="ru-RU"/>
        </w:rPr>
        <w:t xml:space="preserve"> уполномоченными банками валютных операций и </w:t>
      </w:r>
      <w:proofErr w:type="gramStart"/>
      <w:r w:rsidRPr="00E170E2">
        <w:rPr>
          <w:rFonts w:ascii="Times New Roman" w:eastAsia="Times New Roman" w:hAnsi="Times New Roman" w:cs="Times New Roman"/>
          <w:sz w:val="24"/>
          <w:szCs w:val="24"/>
          <w:lang w:eastAsia="ru-RU"/>
        </w:rPr>
        <w:t>контроля за</w:t>
      </w:r>
      <w:proofErr w:type="gramEnd"/>
      <w:r w:rsidRPr="00E170E2">
        <w:rPr>
          <w:rFonts w:ascii="Times New Roman" w:eastAsia="Times New Roman" w:hAnsi="Times New Roman" w:cs="Times New Roman"/>
          <w:sz w:val="24"/>
          <w:szCs w:val="24"/>
          <w:lang w:eastAsia="ru-RU"/>
        </w:rPr>
        <w:t xml:space="preserve"> их проведением".</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r w:rsidRPr="00E170E2">
        <w:rPr>
          <w:rFonts w:ascii="Times New Roman" w:eastAsia="Times New Roman" w:hAnsi="Times New Roman" w:cs="Times New Roman"/>
          <w:sz w:val="24"/>
          <w:szCs w:val="24"/>
          <w:lang w:eastAsia="ru-RU"/>
        </w:rPr>
        <w:t>По вопросам применения налогового и валютного законодательства Российской Федерации рекомендуем вам также воспользоваться онлайн-сервисом на главной странице официального сайта ФНС России (www.nalog.ru) в разделе "Часто задаваемые вопросы".</w:t>
      </w:r>
    </w:p>
    <w:p w:rsidR="00DA291E" w:rsidRPr="00E170E2" w:rsidRDefault="00DA291E" w:rsidP="00E170E2">
      <w:pPr>
        <w:spacing w:before="120" w:after="0" w:line="240" w:lineRule="auto"/>
        <w:jc w:val="both"/>
        <w:rPr>
          <w:rFonts w:ascii="Times New Roman" w:eastAsia="Times New Roman" w:hAnsi="Times New Roman" w:cs="Times New Roman"/>
          <w:sz w:val="24"/>
          <w:szCs w:val="24"/>
          <w:lang w:eastAsia="ru-RU"/>
        </w:rPr>
      </w:pPr>
      <w:proofErr w:type="gramStart"/>
      <w:r w:rsidRPr="00E170E2">
        <w:rPr>
          <w:rFonts w:ascii="Times New Roman" w:eastAsia="Times New Roman" w:hAnsi="Times New Roman" w:cs="Times New Roman"/>
          <w:sz w:val="24"/>
          <w:szCs w:val="24"/>
          <w:lang w:eastAsia="ru-RU"/>
        </w:rPr>
        <w:t>Настоящее разъяснение (письмо) не является нормативным правовым актом, не влечет изменений правового регул</w:t>
      </w:r>
      <w:bookmarkStart w:id="0" w:name="_GoBack"/>
      <w:bookmarkEnd w:id="0"/>
      <w:r w:rsidRPr="00E170E2">
        <w:rPr>
          <w:rFonts w:ascii="Times New Roman" w:eastAsia="Times New Roman" w:hAnsi="Times New Roman" w:cs="Times New Roman"/>
          <w:sz w:val="24"/>
          <w:szCs w:val="24"/>
          <w:lang w:eastAsia="ru-RU"/>
        </w:rPr>
        <w:t>ирования валютных и налоговых отношений, не содержит норм, влекущих юридические последствия для неопределенного круга лиц, носит информационный характер и не препятствует резидентам (нерезидентам) руководствоваться нормами законодательства о налогах и сборах и валютного законодательства Российской Федерации в понимании, отличном от положений настоящего письма.</w:t>
      </w:r>
      <w:proofErr w:type="gramEnd"/>
    </w:p>
    <w:p w:rsidR="00DA291E" w:rsidRDefault="00DA291E" w:rsidP="00DA291E"/>
    <w:p w:rsidR="00DA291E" w:rsidRPr="00D0107F" w:rsidRDefault="00DA291E" w:rsidP="00D0107F">
      <w:pPr>
        <w:spacing w:before="120" w:after="0" w:line="240" w:lineRule="auto"/>
        <w:jc w:val="right"/>
        <w:rPr>
          <w:rFonts w:ascii="Times New Roman" w:eastAsia="Times New Roman" w:hAnsi="Times New Roman" w:cs="Times New Roman"/>
          <w:sz w:val="24"/>
          <w:szCs w:val="24"/>
          <w:lang w:eastAsia="ru-RU"/>
        </w:rPr>
      </w:pPr>
      <w:r w:rsidRPr="00D0107F">
        <w:rPr>
          <w:rFonts w:ascii="Times New Roman" w:eastAsia="Times New Roman" w:hAnsi="Times New Roman" w:cs="Times New Roman"/>
          <w:sz w:val="24"/>
          <w:szCs w:val="24"/>
          <w:lang w:eastAsia="ru-RU"/>
        </w:rPr>
        <w:t>Действительный</w:t>
      </w:r>
    </w:p>
    <w:p w:rsidR="00DA291E" w:rsidRPr="00D0107F" w:rsidRDefault="00DA291E" w:rsidP="00D0107F">
      <w:pPr>
        <w:spacing w:before="120" w:after="0" w:line="240" w:lineRule="auto"/>
        <w:jc w:val="right"/>
        <w:rPr>
          <w:rFonts w:ascii="Times New Roman" w:eastAsia="Times New Roman" w:hAnsi="Times New Roman" w:cs="Times New Roman"/>
          <w:sz w:val="24"/>
          <w:szCs w:val="24"/>
          <w:lang w:eastAsia="ru-RU"/>
        </w:rPr>
      </w:pPr>
      <w:r w:rsidRPr="00D0107F">
        <w:rPr>
          <w:rFonts w:ascii="Times New Roman" w:eastAsia="Times New Roman" w:hAnsi="Times New Roman" w:cs="Times New Roman"/>
          <w:sz w:val="24"/>
          <w:szCs w:val="24"/>
          <w:lang w:eastAsia="ru-RU"/>
        </w:rPr>
        <w:t>государственный советник</w:t>
      </w:r>
    </w:p>
    <w:p w:rsidR="00DA291E" w:rsidRPr="00D0107F" w:rsidRDefault="00DA291E" w:rsidP="00D0107F">
      <w:pPr>
        <w:spacing w:before="120" w:after="0" w:line="240" w:lineRule="auto"/>
        <w:jc w:val="right"/>
        <w:rPr>
          <w:rFonts w:ascii="Times New Roman" w:eastAsia="Times New Roman" w:hAnsi="Times New Roman" w:cs="Times New Roman"/>
          <w:sz w:val="24"/>
          <w:szCs w:val="24"/>
          <w:lang w:eastAsia="ru-RU"/>
        </w:rPr>
      </w:pPr>
      <w:r w:rsidRPr="00D0107F">
        <w:rPr>
          <w:rFonts w:ascii="Times New Roman" w:eastAsia="Times New Roman" w:hAnsi="Times New Roman" w:cs="Times New Roman"/>
          <w:sz w:val="24"/>
          <w:szCs w:val="24"/>
          <w:lang w:eastAsia="ru-RU"/>
        </w:rPr>
        <w:t>Российской Федерации</w:t>
      </w:r>
    </w:p>
    <w:p w:rsidR="00DA291E" w:rsidRPr="00D0107F" w:rsidRDefault="00DA291E" w:rsidP="00D0107F">
      <w:pPr>
        <w:spacing w:before="120" w:after="0" w:line="240" w:lineRule="auto"/>
        <w:jc w:val="right"/>
        <w:rPr>
          <w:rFonts w:ascii="Times New Roman" w:eastAsia="Times New Roman" w:hAnsi="Times New Roman" w:cs="Times New Roman"/>
          <w:sz w:val="24"/>
          <w:szCs w:val="24"/>
          <w:lang w:eastAsia="ru-RU"/>
        </w:rPr>
      </w:pPr>
      <w:r w:rsidRPr="00D0107F">
        <w:rPr>
          <w:rFonts w:ascii="Times New Roman" w:eastAsia="Times New Roman" w:hAnsi="Times New Roman" w:cs="Times New Roman"/>
          <w:sz w:val="24"/>
          <w:szCs w:val="24"/>
          <w:lang w:eastAsia="ru-RU"/>
        </w:rPr>
        <w:t>2 класса</w:t>
      </w:r>
    </w:p>
    <w:p w:rsidR="00DA291E" w:rsidRPr="00D0107F" w:rsidRDefault="00DA291E" w:rsidP="00D0107F">
      <w:pPr>
        <w:spacing w:before="120" w:after="0" w:line="240" w:lineRule="auto"/>
        <w:jc w:val="right"/>
        <w:rPr>
          <w:rFonts w:ascii="Times New Roman" w:eastAsia="Times New Roman" w:hAnsi="Times New Roman" w:cs="Times New Roman"/>
          <w:sz w:val="24"/>
          <w:szCs w:val="24"/>
          <w:lang w:eastAsia="ru-RU"/>
        </w:rPr>
      </w:pPr>
      <w:proofErr w:type="spellStart"/>
      <w:r w:rsidRPr="00D0107F">
        <w:rPr>
          <w:rFonts w:ascii="Times New Roman" w:eastAsia="Times New Roman" w:hAnsi="Times New Roman" w:cs="Times New Roman"/>
          <w:sz w:val="24"/>
          <w:szCs w:val="24"/>
          <w:lang w:eastAsia="ru-RU"/>
        </w:rPr>
        <w:t>Н.С.З</w:t>
      </w:r>
      <w:r w:rsidR="00D0107F" w:rsidRPr="00D0107F">
        <w:rPr>
          <w:rFonts w:ascii="Times New Roman" w:eastAsia="Times New Roman" w:hAnsi="Times New Roman" w:cs="Times New Roman"/>
          <w:sz w:val="24"/>
          <w:szCs w:val="24"/>
          <w:lang w:eastAsia="ru-RU"/>
        </w:rPr>
        <w:t>авилова</w:t>
      </w:r>
      <w:proofErr w:type="spellEnd"/>
    </w:p>
    <w:sectPr w:rsidR="00DA291E" w:rsidRPr="00D0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1E"/>
    <w:rsid w:val="00D0107F"/>
    <w:rsid w:val="00DA291E"/>
    <w:rsid w:val="00E170E2"/>
    <w:rsid w:val="00F1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1564</Words>
  <Characters>8920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Проклова</dc:creator>
  <cp:lastModifiedBy>Светлана Проклова</cp:lastModifiedBy>
  <cp:revision>2</cp:revision>
  <dcterms:created xsi:type="dcterms:W3CDTF">2017-09-07T09:17:00Z</dcterms:created>
  <dcterms:modified xsi:type="dcterms:W3CDTF">2017-09-07T09:49:00Z</dcterms:modified>
</cp:coreProperties>
</file>