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4C57">
        <w:rPr>
          <w:rFonts w:ascii="Times New Roman" w:eastAsia="Times New Roman" w:hAnsi="Times New Roman" w:cs="Times New Roman"/>
          <w:b/>
          <w:bCs/>
          <w:sz w:val="20"/>
          <w:szCs w:val="20"/>
          <w:lang w:eastAsia="ru-RU"/>
        </w:rPr>
        <w:t>МИНИСТЕРСТВО ФИНАНСОВ РОССИЙСКОЙ ФЕДЕРАЦИИ</w:t>
      </w:r>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4C57">
        <w:rPr>
          <w:rFonts w:ascii="Times New Roman" w:eastAsia="Times New Roman" w:hAnsi="Times New Roman" w:cs="Times New Roman"/>
          <w:b/>
          <w:bCs/>
          <w:sz w:val="20"/>
          <w:szCs w:val="20"/>
          <w:lang w:eastAsia="ru-RU"/>
        </w:rPr>
        <w:t>ДЕПАРТАМЕНТ НАЛОГОВОЙ И ТАМОЖЕННО-ТАРИФНОЙ ПОЛИТИКИ</w:t>
      </w:r>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4C57">
        <w:rPr>
          <w:rFonts w:ascii="Times New Roman" w:eastAsia="Times New Roman" w:hAnsi="Times New Roman" w:cs="Times New Roman"/>
          <w:b/>
          <w:bCs/>
          <w:sz w:val="20"/>
          <w:szCs w:val="20"/>
          <w:lang w:eastAsia="ru-RU"/>
        </w:rPr>
        <w:t>ПИСЬМО</w:t>
      </w:r>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4C57">
        <w:rPr>
          <w:rFonts w:ascii="Times New Roman" w:eastAsia="Times New Roman" w:hAnsi="Times New Roman" w:cs="Times New Roman"/>
          <w:b/>
          <w:bCs/>
          <w:sz w:val="20"/>
          <w:szCs w:val="20"/>
          <w:lang w:eastAsia="ru-RU"/>
        </w:rPr>
        <w:t xml:space="preserve">от </w:t>
      </w:r>
      <w:r>
        <w:rPr>
          <w:rFonts w:ascii="Times New Roman" w:eastAsia="Times New Roman" w:hAnsi="Times New Roman" w:cs="Times New Roman"/>
          <w:b/>
          <w:bCs/>
          <w:sz w:val="20"/>
          <w:szCs w:val="20"/>
          <w:lang w:val="en-US" w:eastAsia="ru-RU"/>
        </w:rPr>
        <w:t>09</w:t>
      </w:r>
      <w:r w:rsidRPr="00A44C57">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февраля</w:t>
      </w:r>
      <w:r w:rsidRPr="00A44C57">
        <w:rPr>
          <w:rFonts w:ascii="Times New Roman" w:eastAsia="Times New Roman" w:hAnsi="Times New Roman" w:cs="Times New Roman"/>
          <w:b/>
          <w:bCs/>
          <w:sz w:val="20"/>
          <w:szCs w:val="20"/>
          <w:lang w:eastAsia="ru-RU"/>
        </w:rPr>
        <w:t xml:space="preserve"> 201</w:t>
      </w:r>
      <w:r>
        <w:rPr>
          <w:rFonts w:ascii="Times New Roman" w:eastAsia="Times New Roman" w:hAnsi="Times New Roman" w:cs="Times New Roman"/>
          <w:b/>
          <w:bCs/>
          <w:sz w:val="20"/>
          <w:szCs w:val="20"/>
          <w:lang w:eastAsia="ru-RU"/>
        </w:rPr>
        <w:t>8</w:t>
      </w:r>
      <w:r w:rsidRPr="00A44C57">
        <w:rPr>
          <w:rFonts w:ascii="Times New Roman" w:eastAsia="Times New Roman" w:hAnsi="Times New Roman" w:cs="Times New Roman"/>
          <w:b/>
          <w:bCs/>
          <w:sz w:val="20"/>
          <w:szCs w:val="20"/>
          <w:lang w:eastAsia="ru-RU"/>
        </w:rPr>
        <w:t xml:space="preserve"> г. N 03-03-0</w:t>
      </w:r>
      <w:r>
        <w:rPr>
          <w:rFonts w:ascii="Times New Roman" w:eastAsia="Times New Roman" w:hAnsi="Times New Roman" w:cs="Times New Roman"/>
          <w:b/>
          <w:bCs/>
          <w:sz w:val="20"/>
          <w:szCs w:val="20"/>
          <w:lang w:eastAsia="ru-RU"/>
        </w:rPr>
        <w:t>6</w:t>
      </w:r>
      <w:r w:rsidRPr="00A44C57">
        <w:rPr>
          <w:rFonts w:ascii="Times New Roman" w:eastAsia="Times New Roman" w:hAnsi="Times New Roman" w:cs="Times New Roman"/>
          <w:b/>
          <w:bCs/>
          <w:sz w:val="20"/>
          <w:szCs w:val="20"/>
          <w:lang w:eastAsia="ru-RU"/>
        </w:rPr>
        <w:t>/</w:t>
      </w:r>
      <w:r w:rsidR="002A6A27">
        <w:rPr>
          <w:rFonts w:ascii="Times New Roman" w:eastAsia="Times New Roman" w:hAnsi="Times New Roman" w:cs="Times New Roman"/>
          <w:b/>
          <w:bCs/>
          <w:sz w:val="20"/>
          <w:szCs w:val="20"/>
          <w:lang w:eastAsia="ru-RU"/>
        </w:rPr>
        <w:t>1/7859</w:t>
      </w:r>
      <w:bookmarkStart w:id="0" w:name="_GoBack"/>
      <w:bookmarkEnd w:id="0"/>
    </w:p>
    <w:p w:rsidR="00A44C57" w:rsidRP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A44C57" w:rsidRDefault="00A44C5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2A6A27" w:rsidRPr="002A6A27" w:rsidRDefault="002A6A27" w:rsidP="00A44C57">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2A6A27">
        <w:rPr>
          <w:rFonts w:ascii="Times New Roman" w:eastAsia="Times New Roman" w:hAnsi="Times New Roman" w:cs="Times New Roman"/>
          <w:b/>
          <w:bCs/>
          <w:sz w:val="24"/>
          <w:szCs w:val="20"/>
          <w:lang w:eastAsia="ru-RU"/>
        </w:rPr>
        <w:t>Об особенностях учета процентов по долговым обязательствам в целях налогообложения</w:t>
      </w:r>
    </w:p>
    <w:p w:rsidR="002A6A27" w:rsidRPr="00A44C57" w:rsidRDefault="002A6A27" w:rsidP="00A44C5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97051" w:rsidRPr="002A6A27" w:rsidRDefault="00D97051" w:rsidP="002A6A27">
      <w:pPr>
        <w:pStyle w:val="a3"/>
        <w:jc w:val="both"/>
      </w:pPr>
      <w:bookmarkStart w:id="1" w:name="0"/>
      <w:bookmarkEnd w:id="1"/>
      <w:r w:rsidRPr="002A6A27">
        <w:t>Департамент налоговой и таможенной политики рассмотрел письмо по вопросу применения положений статьи 269 Налогового кодекса Российской Федерации (далее - Кодекс) и сообщает следующее.</w:t>
      </w:r>
    </w:p>
    <w:p w:rsidR="00D97051" w:rsidRPr="002A6A27" w:rsidRDefault="00D97051" w:rsidP="002A6A27">
      <w:pPr>
        <w:pStyle w:val="a3"/>
        <w:jc w:val="both"/>
      </w:pPr>
      <w:proofErr w:type="gramStart"/>
      <w:r w:rsidRPr="002A6A27">
        <w:t>В соответствии с Регламентом Министерства финансов Российской Федерации, утвержденным Приказом Министерства финансов Российской Федерации от 15.06.2012 N 82н, в Министерстве финансов Российской Федерации, если законодательством не установлено иное, не рассматриваются по существу обращения организаций по проведению экспертиз договоров, учредительных и иных документов организаций, по оценке конкретных хозяйственных ситуаций и консультационные услуги не оказываются.</w:t>
      </w:r>
      <w:proofErr w:type="gramEnd"/>
    </w:p>
    <w:p w:rsidR="00D97051" w:rsidRPr="002A6A27" w:rsidRDefault="00D97051" w:rsidP="002A6A27">
      <w:pPr>
        <w:pStyle w:val="a3"/>
        <w:jc w:val="both"/>
      </w:pPr>
      <w:proofErr w:type="gramStart"/>
      <w:r w:rsidRPr="002A6A27">
        <w:t>Одновременно сообщаем, что пунктом 1.1 статьи 269 Кодекса предусмотрено, что по долговому обязательству, возникшему в результате сделки, признаваемой в соответствии с Кодексом контролируемой сделкой, налогоплательщик вправе признать доходом (расходом) процент, исчисленный исходя из фактической ставки по таким долговым обязательствам, в рамках установленных пунктом 1.2 указанной статьи интервалов предельных значений процентных ставок по соответствующим долговым обязательствам.</w:t>
      </w:r>
      <w:proofErr w:type="gramEnd"/>
    </w:p>
    <w:p w:rsidR="00D97051" w:rsidRPr="002A6A27" w:rsidRDefault="00D97051" w:rsidP="002A6A27">
      <w:pPr>
        <w:pStyle w:val="a3"/>
        <w:jc w:val="both"/>
      </w:pPr>
      <w:r w:rsidRPr="002A6A27">
        <w:t>При несоблюдении условий, установленных пунктом 1.1 статьи 269 Кодекса, по долговым обязательствам, возникшим в результате сделок, признаваемых в соответствии с Кодексом контролируемыми сделками, доходом (расходом) признается процент, исчисленный исходя из фактической ставки с учетом положений раздела V.1 Кодекса.</w:t>
      </w:r>
    </w:p>
    <w:p w:rsidR="00D97051" w:rsidRPr="002A6A27" w:rsidRDefault="00D97051" w:rsidP="002A6A27">
      <w:pPr>
        <w:pStyle w:val="a3"/>
        <w:jc w:val="both"/>
      </w:pPr>
      <w:proofErr w:type="gramStart"/>
      <w:r w:rsidRPr="002A6A27">
        <w:t>Разделом V.1 Кодекса предусмотрено, что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сопоставимых сделках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w:t>
      </w:r>
      <w:proofErr w:type="gramEnd"/>
      <w:r w:rsidRPr="002A6A27">
        <w:t xml:space="preserve"> целей налогообложения у этого лица (пункт 1 статьи 105.3 Кодекса).</w:t>
      </w:r>
    </w:p>
    <w:p w:rsidR="00D97051" w:rsidRDefault="00D97051" w:rsidP="002A6A27">
      <w:pPr>
        <w:pStyle w:val="a3"/>
        <w:jc w:val="both"/>
      </w:pPr>
      <w:r w:rsidRPr="002A6A27">
        <w:t>Определение в целях налогообложения таких доходов (прибыли, выручки) производится с применением методов, установленных главой 14.3 Кодекса (пункт 2 статьи 105.3 Кодекса).</w:t>
      </w:r>
    </w:p>
    <w:p w:rsidR="002A6A27" w:rsidRDefault="002A6A27" w:rsidP="002A6A27">
      <w:pPr>
        <w:pStyle w:val="a3"/>
        <w:spacing w:before="0" w:beforeAutospacing="0" w:after="0" w:afterAutospacing="0"/>
        <w:jc w:val="right"/>
      </w:pPr>
      <w:r w:rsidRPr="00D97051">
        <w:t>Заместитель директора Департамента</w:t>
      </w:r>
      <w:r w:rsidRPr="002A6A27">
        <w:t xml:space="preserve"> </w:t>
      </w:r>
    </w:p>
    <w:p w:rsidR="002A6A27" w:rsidRPr="002A6A27" w:rsidRDefault="002A6A27" w:rsidP="002A6A27">
      <w:pPr>
        <w:pStyle w:val="a3"/>
        <w:spacing w:before="0" w:beforeAutospacing="0" w:after="0" w:afterAutospacing="0"/>
        <w:jc w:val="right"/>
      </w:pPr>
      <w:r w:rsidRPr="00D97051">
        <w:t>А.А. Смирнов</w:t>
      </w:r>
    </w:p>
    <w:p w:rsidR="00D97051" w:rsidRPr="00D97051" w:rsidRDefault="00D97051" w:rsidP="002A6A27">
      <w:pPr>
        <w:shd w:val="clear" w:color="auto" w:fill="FFFFFF"/>
        <w:spacing w:after="255" w:line="300" w:lineRule="atLeast"/>
        <w:outlineLvl w:val="1"/>
        <w:rPr>
          <w:rFonts w:ascii="Arial" w:eastAsia="Times New Roman" w:hAnsi="Arial" w:cs="Arial"/>
          <w:color w:val="333333"/>
          <w:sz w:val="23"/>
          <w:szCs w:val="23"/>
          <w:lang w:eastAsia="ru-RU"/>
        </w:rPr>
      </w:pPr>
      <w:bookmarkStart w:id="2" w:name="review"/>
      <w:bookmarkEnd w:id="2"/>
    </w:p>
    <w:sectPr w:rsidR="00D97051" w:rsidRPr="00D97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75CC"/>
    <w:multiLevelType w:val="multilevel"/>
    <w:tmpl w:val="B4B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51"/>
    <w:rsid w:val="002A6A27"/>
    <w:rsid w:val="00A44C57"/>
    <w:rsid w:val="00D545EA"/>
    <w:rsid w:val="00D9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30937">
      <w:bodyDiv w:val="1"/>
      <w:marLeft w:val="0"/>
      <w:marRight w:val="0"/>
      <w:marTop w:val="0"/>
      <w:marBottom w:val="0"/>
      <w:divBdr>
        <w:top w:val="none" w:sz="0" w:space="0" w:color="auto"/>
        <w:left w:val="none" w:sz="0" w:space="0" w:color="auto"/>
        <w:bottom w:val="none" w:sz="0" w:space="0" w:color="auto"/>
        <w:right w:val="none" w:sz="0" w:space="0" w:color="auto"/>
      </w:divBdr>
      <w:divsChild>
        <w:div w:id="888688731">
          <w:marLeft w:val="450"/>
          <w:marRight w:val="0"/>
          <w:marTop w:val="0"/>
          <w:marBottom w:val="0"/>
          <w:divBdr>
            <w:top w:val="none" w:sz="0" w:space="0" w:color="auto"/>
            <w:left w:val="none" w:sz="0" w:space="0" w:color="auto"/>
            <w:bottom w:val="none" w:sz="0" w:space="0" w:color="auto"/>
            <w:right w:val="none" w:sz="0" w:space="0" w:color="auto"/>
          </w:divBdr>
          <w:divsChild>
            <w:div w:id="935135002">
              <w:marLeft w:val="0"/>
              <w:marRight w:val="0"/>
              <w:marTop w:val="0"/>
              <w:marBottom w:val="0"/>
              <w:divBdr>
                <w:top w:val="none" w:sz="0" w:space="0" w:color="auto"/>
                <w:left w:val="none" w:sz="0" w:space="0" w:color="auto"/>
                <w:bottom w:val="none" w:sz="0" w:space="0" w:color="auto"/>
                <w:right w:val="none" w:sz="0" w:space="0" w:color="auto"/>
              </w:divBdr>
              <w:divsChild>
                <w:div w:id="161629460">
                  <w:marLeft w:val="0"/>
                  <w:marRight w:val="0"/>
                  <w:marTop w:val="0"/>
                  <w:marBottom w:val="180"/>
                  <w:divBdr>
                    <w:top w:val="none" w:sz="0" w:space="0" w:color="auto"/>
                    <w:left w:val="none" w:sz="0" w:space="0" w:color="auto"/>
                    <w:bottom w:val="none" w:sz="0" w:space="0" w:color="auto"/>
                    <w:right w:val="none" w:sz="0" w:space="0" w:color="auto"/>
                  </w:divBdr>
                </w:div>
                <w:div w:id="1558055721">
                  <w:marLeft w:val="0"/>
                  <w:marRight w:val="0"/>
                  <w:marTop w:val="0"/>
                  <w:marBottom w:val="0"/>
                  <w:divBdr>
                    <w:top w:val="none" w:sz="0" w:space="0" w:color="auto"/>
                    <w:left w:val="none" w:sz="0" w:space="0" w:color="auto"/>
                    <w:bottom w:val="none" w:sz="0" w:space="0" w:color="auto"/>
                    <w:right w:val="none" w:sz="0" w:space="0" w:color="auto"/>
                  </w:divBdr>
                </w:div>
              </w:divsChild>
            </w:div>
            <w:div w:id="2143767612">
              <w:marLeft w:val="0"/>
              <w:marRight w:val="0"/>
              <w:marTop w:val="0"/>
              <w:marBottom w:val="390"/>
              <w:divBdr>
                <w:top w:val="none" w:sz="0" w:space="0" w:color="auto"/>
                <w:left w:val="none" w:sz="0" w:space="0" w:color="auto"/>
                <w:bottom w:val="none" w:sz="0" w:space="0" w:color="auto"/>
                <w:right w:val="none" w:sz="0" w:space="0" w:color="auto"/>
              </w:divBdr>
              <w:divsChild>
                <w:div w:id="335839147">
                  <w:marLeft w:val="0"/>
                  <w:marRight w:val="0"/>
                  <w:marTop w:val="0"/>
                  <w:marBottom w:val="0"/>
                  <w:divBdr>
                    <w:top w:val="none" w:sz="0" w:space="0" w:color="auto"/>
                    <w:left w:val="none" w:sz="0" w:space="0" w:color="auto"/>
                    <w:bottom w:val="none" w:sz="0" w:space="0" w:color="auto"/>
                    <w:right w:val="none" w:sz="0" w:space="0" w:color="auto"/>
                  </w:divBdr>
                  <w:divsChild>
                    <w:div w:id="1829973519">
                      <w:marLeft w:val="0"/>
                      <w:marRight w:val="0"/>
                      <w:marTop w:val="0"/>
                      <w:marBottom w:val="0"/>
                      <w:divBdr>
                        <w:top w:val="none" w:sz="0" w:space="0" w:color="auto"/>
                        <w:left w:val="none" w:sz="0" w:space="0" w:color="auto"/>
                        <w:bottom w:val="none" w:sz="0" w:space="0" w:color="auto"/>
                        <w:right w:val="none" w:sz="0" w:space="0" w:color="auto"/>
                      </w:divBdr>
                    </w:div>
                    <w:div w:id="1545605852">
                      <w:marLeft w:val="0"/>
                      <w:marRight w:val="0"/>
                      <w:marTop w:val="0"/>
                      <w:marBottom w:val="0"/>
                      <w:divBdr>
                        <w:top w:val="none" w:sz="0" w:space="0" w:color="auto"/>
                        <w:left w:val="none" w:sz="0" w:space="0" w:color="auto"/>
                        <w:bottom w:val="none" w:sz="0" w:space="0" w:color="auto"/>
                        <w:right w:val="none" w:sz="0" w:space="0" w:color="auto"/>
                      </w:divBdr>
                      <w:divsChild>
                        <w:div w:id="883518180">
                          <w:marLeft w:val="0"/>
                          <w:marRight w:val="0"/>
                          <w:marTop w:val="0"/>
                          <w:marBottom w:val="0"/>
                          <w:divBdr>
                            <w:top w:val="none" w:sz="0" w:space="0" w:color="auto"/>
                            <w:left w:val="none" w:sz="0" w:space="0" w:color="auto"/>
                            <w:bottom w:val="none" w:sz="0" w:space="0" w:color="auto"/>
                            <w:right w:val="none" w:sz="0" w:space="0" w:color="auto"/>
                          </w:divBdr>
                          <w:divsChild>
                            <w:div w:id="266162443">
                              <w:marLeft w:val="0"/>
                              <w:marRight w:val="0"/>
                              <w:marTop w:val="0"/>
                              <w:marBottom w:val="0"/>
                              <w:divBdr>
                                <w:top w:val="none" w:sz="0" w:space="0" w:color="auto"/>
                                <w:left w:val="none" w:sz="0" w:space="0" w:color="auto"/>
                                <w:bottom w:val="none" w:sz="0" w:space="0" w:color="auto"/>
                                <w:right w:val="none" w:sz="0" w:space="0" w:color="auto"/>
                              </w:divBdr>
                              <w:divsChild>
                                <w:div w:id="9175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07396">
                  <w:marLeft w:val="0"/>
                  <w:marRight w:val="0"/>
                  <w:marTop w:val="240"/>
                  <w:marBottom w:val="0"/>
                  <w:divBdr>
                    <w:top w:val="none" w:sz="0" w:space="0" w:color="auto"/>
                    <w:left w:val="none" w:sz="0" w:space="0" w:color="auto"/>
                    <w:bottom w:val="none" w:sz="0" w:space="0" w:color="auto"/>
                    <w:right w:val="none" w:sz="0" w:space="0" w:color="auto"/>
                  </w:divBdr>
                  <w:divsChild>
                    <w:div w:id="198065143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20930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348C-48FF-4084-B72E-0CB7CAF9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2018-03-28T12:13:00Z</dcterms:created>
  <dcterms:modified xsi:type="dcterms:W3CDTF">2018-03-28T12:13:00Z</dcterms:modified>
</cp:coreProperties>
</file>